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52970" w14:textId="77777777" w:rsidR="00FF1BC7" w:rsidRDefault="00FF1BC7" w:rsidP="00FF1BC7">
      <w:pPr>
        <w:rPr>
          <w:b/>
          <w:bCs/>
        </w:rPr>
      </w:pPr>
      <w:r w:rsidRPr="00FF1BC7">
        <w:rPr>
          <w:b/>
          <w:bCs/>
        </w:rPr>
        <w:t xml:space="preserve">Evidence Infrastructure Signal · 011 </w:t>
      </w:r>
    </w:p>
    <w:p w14:paraId="402322DB" w14:textId="0C7F560F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THE INFRASTRUCTURE ILLUSION</w:t>
      </w:r>
    </w:p>
    <w:p w14:paraId="5EE396EC" w14:textId="77777777" w:rsidR="00FF1BC7" w:rsidRPr="00FF1BC7" w:rsidRDefault="00FF1BC7" w:rsidP="00FF1BC7">
      <w:r w:rsidRPr="00FF1BC7">
        <w:t>July 17, 2026</w:t>
      </w:r>
    </w:p>
    <w:p w14:paraId="5C21BA25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Decoupling Regulatory Delays from Evidential Reality</w:t>
      </w:r>
    </w:p>
    <w:p w14:paraId="14EEF230" w14:textId="77777777" w:rsidR="00FF1BC7" w:rsidRPr="00FF1BC7" w:rsidRDefault="00FF1BC7" w:rsidP="00FF1BC7">
      <w:r w:rsidRPr="00FF1BC7">
        <w:pict w14:anchorId="57C55478">
          <v:rect id="_x0000_i1089" style="width:486pt;height:.75pt" o:hrpct="0" o:hralign="center" o:hrstd="t" o:hr="t" fillcolor="#a0a0a0" stroked="f"/>
        </w:pict>
      </w:r>
    </w:p>
    <w:p w14:paraId="2DCDDFA0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Opening</w:t>
      </w:r>
    </w:p>
    <w:p w14:paraId="4E08BBD7" w14:textId="77777777" w:rsidR="00FF1BC7" w:rsidRPr="00FF1BC7" w:rsidRDefault="00FF1BC7" w:rsidP="00FF1BC7">
      <w:r w:rsidRPr="00FF1BC7">
        <w:t>Over the past week, several important developments emerged across the global sustainability ecosystem.</w:t>
      </w:r>
    </w:p>
    <w:p w14:paraId="401B0238" w14:textId="77777777" w:rsidR="00FF1BC7" w:rsidRPr="00FF1BC7" w:rsidRDefault="00FF1BC7" w:rsidP="00FF1BC7">
      <w:r w:rsidRPr="00FF1BC7">
        <w:t>The Financial Services Commission (FSC) of South Korea finalized its sustainability disclosure roadmap for KOSPI-listed companies.</w:t>
      </w:r>
    </w:p>
    <w:p w14:paraId="6730F363" w14:textId="77777777" w:rsidR="00FF1BC7" w:rsidRPr="00FF1BC7" w:rsidRDefault="00FF1BC7" w:rsidP="00FF1BC7">
      <w:r w:rsidRPr="00FF1BC7">
        <w:t>The European Securities and Markets Authority (ESMA) simultaneously introduced a sweeping authorization regime for ESG rating providers across the European Union.</w:t>
      </w:r>
    </w:p>
    <w:p w14:paraId="5BF5FD06" w14:textId="77777777" w:rsidR="00FF1BC7" w:rsidRPr="00FF1BC7" w:rsidRDefault="00FF1BC7" w:rsidP="00FF1BC7">
      <w:r w:rsidRPr="00FF1BC7">
        <w:t>The market quickly interpreted these updates through familiar lenses.</w:t>
      </w:r>
    </w:p>
    <w:p w14:paraId="06F8A3C7" w14:textId="77777777" w:rsidR="00FF1BC7" w:rsidRPr="00FF1BC7" w:rsidRDefault="00FF1BC7" w:rsidP="00FF1BC7">
      <w:r w:rsidRPr="00FF1BC7">
        <w:t>A regulatory delay in Asia.</w:t>
      </w:r>
    </w:p>
    <w:p w14:paraId="0BAFBF8B" w14:textId="77777777" w:rsidR="00FF1BC7" w:rsidRPr="00FF1BC7" w:rsidRDefault="00FF1BC7" w:rsidP="00FF1BC7">
      <w:r w:rsidRPr="00FF1BC7">
        <w:t>A compliance adjustment in Europe.</w:t>
      </w:r>
    </w:p>
    <w:p w14:paraId="7053FE73" w14:textId="77777777" w:rsidR="00FF1BC7" w:rsidRPr="00FF1BC7" w:rsidRDefault="00FF1BC7" w:rsidP="00FF1BC7">
      <w:r w:rsidRPr="00FF1BC7">
        <w:t>Yet together, they reveal a remarkably similar structural direction.</w:t>
      </w:r>
    </w:p>
    <w:p w14:paraId="61558281" w14:textId="77777777" w:rsidR="00FF1BC7" w:rsidRPr="00FF1BC7" w:rsidRDefault="00FF1BC7" w:rsidP="00FF1BC7">
      <w:r w:rsidRPr="00FF1BC7">
        <w:t>Increasingly, sustainability implementation is no longer constrained by disclosure rules alone.</w:t>
      </w:r>
    </w:p>
    <w:p w14:paraId="287C6B1A" w14:textId="77777777" w:rsidR="00FF1BC7" w:rsidRPr="00FF1BC7" w:rsidRDefault="00FF1BC7" w:rsidP="00FF1BC7">
      <w:r w:rsidRPr="00FF1BC7">
        <w:t>It is increasingly constrained by the evidential capabilities required before reporting begins.</w:t>
      </w:r>
    </w:p>
    <w:p w14:paraId="48258EED" w14:textId="77777777" w:rsidR="00FF1BC7" w:rsidRPr="00FF1BC7" w:rsidRDefault="00FF1BC7" w:rsidP="00FF1BC7">
      <w:r w:rsidRPr="00FF1BC7">
        <w:pict w14:anchorId="48466FD6">
          <v:rect id="_x0000_i1090" style="width:486pt;height:.75pt" o:hrpct="0" o:hralign="center" o:hrstd="t" o:hr="t" fillcolor="#a0a0a0" stroked="f"/>
        </w:pict>
      </w:r>
    </w:p>
    <w:p w14:paraId="63E8E2B4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Recent Developments</w:t>
      </w:r>
    </w:p>
    <w:p w14:paraId="784DED9A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Implementation Is Reaching Its Infrastructure Limits</w:t>
      </w:r>
    </w:p>
    <w:p w14:paraId="60A12175" w14:textId="77777777" w:rsidR="00FF1BC7" w:rsidRPr="00FF1BC7" w:rsidRDefault="00FF1BC7" w:rsidP="00FF1BC7">
      <w:r w:rsidRPr="00FF1BC7">
        <w:t xml:space="preserve">The South Korean FSC officially postponed mandatory Scope 3 emissions disclosures by three years across all corporate tiers, extending implementation </w:t>
      </w:r>
      <w:r w:rsidRPr="00FF1BC7">
        <w:lastRenderedPageBreak/>
        <w:t>to between 2031 and 2033.</w:t>
      </w:r>
    </w:p>
    <w:p w14:paraId="208D70BB" w14:textId="77777777" w:rsidR="00FF1BC7" w:rsidRPr="00FF1BC7" w:rsidRDefault="00FF1BC7" w:rsidP="00FF1BC7">
      <w:r w:rsidRPr="00FF1BC7">
        <w:t>Importantly, the commission did not position this decision as a retreat from sustainability ambition.</w:t>
      </w:r>
    </w:p>
    <w:p w14:paraId="6D2A66A2" w14:textId="77777777" w:rsidR="00FF1BC7" w:rsidRPr="00FF1BC7" w:rsidRDefault="00FF1BC7" w:rsidP="00FF1BC7">
      <w:r w:rsidRPr="00FF1BC7">
        <w:t>Instead, it explicitly acknowledged an operational constraint. Organizations currently lack the infrastructure necessary to calculate and produce reliable value chain information.</w:t>
      </w:r>
    </w:p>
    <w:p w14:paraId="0EB0579B" w14:textId="77777777" w:rsidR="00FF1BC7" w:rsidRPr="00FF1BC7" w:rsidRDefault="00FF1BC7" w:rsidP="00FF1BC7">
      <w:r w:rsidRPr="00FF1BC7">
        <w:t>Implementation is reaching the hard boundary of upstream data fragmentation.</w:t>
      </w:r>
    </w:p>
    <w:p w14:paraId="1E1D8770" w14:textId="77777777" w:rsidR="00FF1BC7" w:rsidRPr="00FF1BC7" w:rsidRDefault="00FF1BC7" w:rsidP="00FF1BC7">
      <w:r w:rsidRPr="00FF1BC7">
        <w:pict w14:anchorId="513D4254">
          <v:rect id="_x0000_i1091" style="width:486pt;height:.75pt" o:hrpct="0" o:hralign="center" o:hrstd="t" o:hr="t" fillcolor="#a0a0a0" stroked="f"/>
        </w:pict>
      </w:r>
    </w:p>
    <w:p w14:paraId="6DE19B04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Liability Is Becoming Institutionalized</w:t>
      </w:r>
    </w:p>
    <w:p w14:paraId="0304E5AA" w14:textId="77777777" w:rsidR="00FF1BC7" w:rsidRPr="00FF1BC7" w:rsidRDefault="00FF1BC7" w:rsidP="00FF1BC7">
      <w:r w:rsidRPr="00FF1BC7">
        <w:t>The revised roadmap introduces an unprecedented three-year Safe Harbor mechanism under the FSCMA.</w:t>
      </w:r>
    </w:p>
    <w:p w14:paraId="6DEB4BF3" w14:textId="77777777" w:rsidR="00FF1BC7" w:rsidRPr="00FF1BC7" w:rsidRDefault="00FF1BC7" w:rsidP="00FF1BC7">
      <w:r w:rsidRPr="00FF1BC7">
        <w:t>Organizations are granted temporary protection from civil damages, administrative sanctions and criminal liabilities associated with sustainability disclosures.</w:t>
      </w:r>
    </w:p>
    <w:p w14:paraId="76CD9506" w14:textId="77777777" w:rsidR="00FF1BC7" w:rsidRPr="00FF1BC7" w:rsidRDefault="00FF1BC7" w:rsidP="00FF1BC7">
      <w:r w:rsidRPr="00FF1BC7">
        <w:t>Even after the initial grace period, significant protections remain for forward-looking statements, greenhouse gas estimations and supplier-related information.</w:t>
      </w:r>
    </w:p>
    <w:p w14:paraId="47DAFFBD" w14:textId="77777777" w:rsidR="00FF1BC7" w:rsidRPr="00FF1BC7" w:rsidRDefault="00FF1BC7" w:rsidP="00FF1BC7">
      <w:r w:rsidRPr="00FF1BC7">
        <w:t>Executives do not fear transparency itself.</w:t>
      </w:r>
    </w:p>
    <w:p w14:paraId="3791D98A" w14:textId="77777777" w:rsidR="00FF1BC7" w:rsidRPr="00FF1BC7" w:rsidRDefault="00FF1BC7" w:rsidP="00FF1BC7">
      <w:r w:rsidRPr="00FF1BC7">
        <w:t>They fear the liabilities associated with evidence they cannot reliably produce.</w:t>
      </w:r>
    </w:p>
    <w:p w14:paraId="715361D7" w14:textId="77777777" w:rsidR="00FF1BC7" w:rsidRPr="00FF1BC7" w:rsidRDefault="00FF1BC7" w:rsidP="00FF1BC7">
      <w:r w:rsidRPr="00FF1BC7">
        <w:pict w14:anchorId="36266556">
          <v:rect id="_x0000_i1092" style="width:486pt;height:.75pt" o:hrpct="0" o:hralign="center" o:hrstd="t" o:hr="t" fillcolor="#a0a0a0" stroked="f"/>
        </w:pict>
      </w:r>
    </w:p>
    <w:p w14:paraId="26DD65B9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Downstream Trust Is Being Recalibrated</w:t>
      </w:r>
    </w:p>
    <w:p w14:paraId="16944459" w14:textId="77777777" w:rsidR="00FF1BC7" w:rsidRPr="00FF1BC7" w:rsidRDefault="00FF1BC7" w:rsidP="00FF1BC7">
      <w:r w:rsidRPr="00FF1BC7">
        <w:t>At the same time, ESMA's new regulatory mandate fundamentally changes how ESG ratings will be distributed within the European Union.</w:t>
      </w:r>
    </w:p>
    <w:p w14:paraId="510ED183" w14:textId="77777777" w:rsidR="00FF1BC7" w:rsidRPr="00FF1BC7" w:rsidRDefault="00FF1BC7" w:rsidP="00FF1BC7">
      <w:r w:rsidRPr="00FF1BC7">
        <w:t>This intervention reflects a broader institutional challenge.</w:t>
      </w:r>
    </w:p>
    <w:p w14:paraId="40887DDC" w14:textId="77777777" w:rsidR="00FF1BC7" w:rsidRPr="00FF1BC7" w:rsidRDefault="00FF1BC7" w:rsidP="00FF1BC7">
      <w:r w:rsidRPr="00FF1BC7">
        <w:t>Trust in downstream aggregation is increasingly being reassessed.</w:t>
      </w:r>
    </w:p>
    <w:p w14:paraId="4F5130A5" w14:textId="77777777" w:rsidR="00FF1BC7" w:rsidRPr="00FF1BC7" w:rsidRDefault="00FF1BC7" w:rsidP="00FF1BC7">
      <w:r w:rsidRPr="00FF1BC7">
        <w:t xml:space="preserve">Legacy analytical frameworks, whether carbon accounting software or ESG rating methodologies, were designed for data aggregation rather than evidential </w:t>
      </w:r>
      <w:r w:rsidRPr="00FF1BC7">
        <w:lastRenderedPageBreak/>
        <w:t>continuity.</w:t>
      </w:r>
    </w:p>
    <w:p w14:paraId="78C40DF8" w14:textId="77777777" w:rsidR="00FF1BC7" w:rsidRPr="00FF1BC7" w:rsidRDefault="00FF1BC7" w:rsidP="00FF1BC7">
      <w:r w:rsidRPr="00FF1BC7">
        <w:t>Regulating evaluators may improve oversight.</w:t>
      </w:r>
    </w:p>
    <w:p w14:paraId="1458CFBE" w14:textId="77777777" w:rsidR="00FF1BC7" w:rsidRPr="00FF1BC7" w:rsidRDefault="00FF1BC7" w:rsidP="00FF1BC7">
      <w:r w:rsidRPr="00FF1BC7">
        <w:t>It does not eliminate the upstream dependency on trustworthy evidence.</w:t>
      </w:r>
    </w:p>
    <w:p w14:paraId="2E266E30" w14:textId="77777777" w:rsidR="00FF1BC7" w:rsidRPr="00FF1BC7" w:rsidRDefault="00FF1BC7" w:rsidP="00FF1BC7">
      <w:r w:rsidRPr="00FF1BC7">
        <w:t>Without reliable operational foundations, downstream scoring remains structurally vulnerable.</w:t>
      </w:r>
    </w:p>
    <w:p w14:paraId="135DE9D4" w14:textId="77777777" w:rsidR="00FF1BC7" w:rsidRPr="00FF1BC7" w:rsidRDefault="00FF1BC7" w:rsidP="00FF1BC7">
      <w:r w:rsidRPr="00FF1BC7">
        <w:pict w14:anchorId="7A0A5F64">
          <v:rect id="_x0000_i1093" style="width:486pt;height:.75pt" o:hrpct="0" o:hralign="center" o:hrstd="t" o:hr="t" fillcolor="#a0a0a0" stroked="f"/>
        </w:pict>
      </w:r>
    </w:p>
    <w:p w14:paraId="14E01AF2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Verification Still Begins Upstream</w:t>
      </w:r>
    </w:p>
    <w:p w14:paraId="747680D7" w14:textId="77777777" w:rsidR="00FF1BC7" w:rsidRPr="00FF1BC7" w:rsidRDefault="00FF1BC7" w:rsidP="00FF1BC7">
      <w:r w:rsidRPr="00FF1BC7">
        <w:t>South Korea's roadmap simultaneously confirms mandatory statutory verification beginning in 2030.</w:t>
      </w:r>
    </w:p>
    <w:p w14:paraId="0139AA86" w14:textId="77777777" w:rsidR="00FF1BC7" w:rsidRPr="00FF1BC7" w:rsidRDefault="00FF1BC7" w:rsidP="00FF1BC7">
      <w:r w:rsidRPr="00FF1BC7">
        <w:t>This reflects an increasingly important institutional transition.</w:t>
      </w:r>
    </w:p>
    <w:p w14:paraId="1C4F983F" w14:textId="77777777" w:rsidR="00FF1BC7" w:rsidRPr="00FF1BC7" w:rsidRDefault="00FF1BC7" w:rsidP="00FF1BC7">
      <w:r w:rsidRPr="00FF1BC7">
        <w:t>Grace periods provide time.</w:t>
      </w:r>
    </w:p>
    <w:p w14:paraId="349059E4" w14:textId="77777777" w:rsidR="00FF1BC7" w:rsidRPr="00FF1BC7" w:rsidRDefault="00FF1BC7" w:rsidP="00FF1BC7">
      <w:r w:rsidRPr="00FF1BC7">
        <w:t>They do not create data integrity.</w:t>
      </w:r>
    </w:p>
    <w:p w14:paraId="20D55D3A" w14:textId="77777777" w:rsidR="00FF1BC7" w:rsidRPr="00FF1BC7" w:rsidRDefault="00FF1BC7" w:rsidP="00FF1BC7">
      <w:r w:rsidRPr="00FF1BC7">
        <w:t>Verification creates confidence.</w:t>
      </w:r>
    </w:p>
    <w:p w14:paraId="346650A7" w14:textId="77777777" w:rsidR="00FF1BC7" w:rsidRPr="00FF1BC7" w:rsidRDefault="00FF1BC7" w:rsidP="00FF1BC7">
      <w:r w:rsidRPr="00FF1BC7">
        <w:t>It does not create evidence.</w:t>
      </w:r>
    </w:p>
    <w:p w14:paraId="5430D8F1" w14:textId="77777777" w:rsidR="00FF1BC7" w:rsidRPr="00FF1BC7" w:rsidRDefault="00FF1BC7" w:rsidP="00FF1BC7">
      <w:r w:rsidRPr="00FF1BC7">
        <w:t>The three-year delay is not a pause.</w:t>
      </w:r>
    </w:p>
    <w:p w14:paraId="70FF7592" w14:textId="77777777" w:rsidR="00FF1BC7" w:rsidRPr="00FF1BC7" w:rsidRDefault="00FF1BC7" w:rsidP="00FF1BC7">
      <w:r w:rsidRPr="00FF1BC7">
        <w:t>It is an infrastructure runway for the supply chain.</w:t>
      </w:r>
    </w:p>
    <w:p w14:paraId="134E464C" w14:textId="77777777" w:rsidR="00FF1BC7" w:rsidRPr="00FF1BC7" w:rsidRDefault="00FF1BC7" w:rsidP="00FF1BC7">
      <w:r w:rsidRPr="00FF1BC7">
        <w:t>See content credentials</w:t>
      </w:r>
    </w:p>
    <w:p w14:paraId="3CEB8696" w14:textId="7662F836" w:rsidR="00FF1BC7" w:rsidRPr="00FF1BC7" w:rsidRDefault="00FF1BC7" w:rsidP="00FF1BC7">
      <w:r w:rsidRPr="00FF1BC7">
        <w:lastRenderedPageBreak/>
        <w:drawing>
          <wp:inline distT="0" distB="0" distL="0" distR="0" wp14:anchorId="7AFA86A5" wp14:editId="6F7F0154">
            <wp:extent cx="5274310" cy="7864475"/>
            <wp:effectExtent l="0" t="0" r="2540" b="3175"/>
            <wp:docPr id="1251282716" name="圖片 5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03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6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6EC14" w14:textId="77777777" w:rsidR="00FF1BC7" w:rsidRPr="00FF1BC7" w:rsidRDefault="00FF1BC7" w:rsidP="00FF1BC7">
      <w:r w:rsidRPr="00FF1BC7">
        <w:t>Mapping the real-world evidence gap behind regulatory implementation.</w:t>
      </w:r>
    </w:p>
    <w:p w14:paraId="62EB8EF5" w14:textId="77777777" w:rsidR="00FF1BC7" w:rsidRPr="00FF1BC7" w:rsidRDefault="00FF1BC7" w:rsidP="00FF1BC7">
      <w:r w:rsidRPr="00FF1BC7">
        <w:pict w14:anchorId="780C69F0">
          <v:rect id="_x0000_i1095" style="width:486pt;height:.75pt" o:hrpct="0" o:hralign="center" o:hrstd="t" o:hr="t" fillcolor="#a0a0a0" stroked="f"/>
        </w:pict>
      </w:r>
    </w:p>
    <w:p w14:paraId="01D84917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lastRenderedPageBreak/>
        <w:t>A Shared Structural Direction</w:t>
      </w:r>
    </w:p>
    <w:p w14:paraId="6178A309" w14:textId="77777777" w:rsidR="00FF1BC7" w:rsidRPr="00FF1BC7" w:rsidRDefault="00FF1BC7" w:rsidP="00FF1BC7">
      <w:r w:rsidRPr="00FF1BC7">
        <w:t>Although these developments originate from different jurisdictions, they increasingly point toward the same institutional direction.</w:t>
      </w:r>
    </w:p>
    <w:p w14:paraId="6C138C80" w14:textId="77777777" w:rsidR="00FF1BC7" w:rsidRPr="00FF1BC7" w:rsidRDefault="00FF1BC7" w:rsidP="00FF1BC7">
      <w:proofErr w:type="gramStart"/>
      <w:r w:rsidRPr="00FF1BC7">
        <w:t>Rule-making</w:t>
      </w:r>
      <w:proofErr w:type="gramEnd"/>
      <w:r w:rsidRPr="00FF1BC7">
        <w:t xml:space="preserve"> is slowing.</w:t>
      </w:r>
    </w:p>
    <w:p w14:paraId="4502017C" w14:textId="77777777" w:rsidR="00FF1BC7" w:rsidRPr="00FF1BC7" w:rsidRDefault="00FF1BC7" w:rsidP="00FF1BC7">
      <w:r w:rsidRPr="00FF1BC7">
        <w:t>Data calculation is struggling.</w:t>
      </w:r>
    </w:p>
    <w:p w14:paraId="78FFDCF7" w14:textId="77777777" w:rsidR="00FF1BC7" w:rsidRPr="00FF1BC7" w:rsidRDefault="00FF1BC7" w:rsidP="00FF1BC7">
      <w:r w:rsidRPr="00FF1BC7">
        <w:t>Liability concerns are rising.</w:t>
      </w:r>
    </w:p>
    <w:p w14:paraId="0ACCF7A7" w14:textId="77777777" w:rsidR="00FF1BC7" w:rsidRPr="00FF1BC7" w:rsidRDefault="00FF1BC7" w:rsidP="00FF1BC7">
      <w:r w:rsidRPr="00FF1BC7">
        <w:t>Downstream trust is being recalibrated.</w:t>
      </w:r>
    </w:p>
    <w:p w14:paraId="74458853" w14:textId="77777777" w:rsidR="00FF1BC7" w:rsidRPr="00FF1BC7" w:rsidRDefault="00FF1BC7" w:rsidP="00FF1BC7">
      <w:r w:rsidRPr="00FF1BC7">
        <w:t xml:space="preserve">Credibility is becoming </w:t>
      </w:r>
      <w:proofErr w:type="gramStart"/>
      <w:r w:rsidRPr="00FF1BC7">
        <w:t>evidence-dependent</w:t>
      </w:r>
      <w:proofErr w:type="gramEnd"/>
      <w:r w:rsidRPr="00FF1BC7">
        <w:t>.</w:t>
      </w:r>
    </w:p>
    <w:p w14:paraId="2A8BBD02" w14:textId="77777777" w:rsidR="00FF1BC7" w:rsidRPr="00FF1BC7" w:rsidRDefault="00FF1BC7" w:rsidP="00FF1BC7">
      <w:r w:rsidRPr="00FF1BC7">
        <w:t>Rather than seeking more reporting tools, institutions are beginning to recognize that trustworthy disclosures depend upon trustworthy operational foundations.</w:t>
      </w:r>
    </w:p>
    <w:p w14:paraId="4DDEBC15" w14:textId="77777777" w:rsidR="00FF1BC7" w:rsidRPr="00FF1BC7" w:rsidRDefault="00FF1BC7" w:rsidP="00FF1BC7">
      <w:r w:rsidRPr="00FF1BC7">
        <w:t>See content credentials</w:t>
      </w:r>
    </w:p>
    <w:p w14:paraId="74E260F8" w14:textId="3A93895C" w:rsidR="00FF1BC7" w:rsidRPr="00FF1BC7" w:rsidRDefault="00FF1BC7" w:rsidP="00FF1BC7">
      <w:r w:rsidRPr="00FF1BC7">
        <w:lastRenderedPageBreak/>
        <w:drawing>
          <wp:inline distT="0" distB="0" distL="0" distR="0" wp14:anchorId="0F492216" wp14:editId="1EE46215">
            <wp:extent cx="5274310" cy="7864475"/>
            <wp:effectExtent l="0" t="0" r="2540" b="3175"/>
            <wp:docPr id="115770443" name="圖片 4" descr="Article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ber112" descr="Article conten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86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F0727" w14:textId="77777777" w:rsidR="00FF1BC7" w:rsidRPr="00FF1BC7" w:rsidRDefault="00FF1BC7" w:rsidP="00FF1BC7">
      <w:r w:rsidRPr="00FF1BC7">
        <w:t>Comparing legacy reconstruction with continuous evidence continuity.</w:t>
      </w:r>
    </w:p>
    <w:p w14:paraId="74B21CC9" w14:textId="77777777" w:rsidR="00FF1BC7" w:rsidRPr="00FF1BC7" w:rsidRDefault="00FF1BC7" w:rsidP="00FF1BC7">
      <w:r w:rsidRPr="00FF1BC7">
        <w:pict w14:anchorId="03AD7040">
          <v:rect id="_x0000_i1097" style="width:486pt;height:.75pt" o:hrpct="0" o:hralign="center" o:hrstd="t" o:hr="t" fillcolor="#a0a0a0" stroked="f"/>
        </w:pict>
      </w:r>
    </w:p>
    <w:p w14:paraId="70073F02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lastRenderedPageBreak/>
        <w:t>Evidence Infrastructure Perspective</w:t>
      </w:r>
    </w:p>
    <w:p w14:paraId="61091075" w14:textId="77777777" w:rsidR="00FF1BC7" w:rsidRPr="00FF1BC7" w:rsidRDefault="00FF1BC7" w:rsidP="00FF1BC7">
      <w:r w:rsidRPr="00FF1BC7">
        <w:t>Viewed together, these developments suggest that sustainability is entering a new stage of institutional maturity.</w:t>
      </w:r>
    </w:p>
    <w:p w14:paraId="33C94587" w14:textId="77777777" w:rsidR="00FF1BC7" w:rsidRPr="00FF1BC7" w:rsidRDefault="00FF1BC7" w:rsidP="00FF1BC7">
      <w:r w:rsidRPr="00FF1BC7">
        <w:t>Reporting remains essential.</w:t>
      </w:r>
    </w:p>
    <w:p w14:paraId="4B7D0A88" w14:textId="77777777" w:rsidR="00FF1BC7" w:rsidRPr="00FF1BC7" w:rsidRDefault="00FF1BC7" w:rsidP="00FF1BC7">
      <w:r w:rsidRPr="00FF1BC7">
        <w:t>Assurance remains essential.</w:t>
      </w:r>
    </w:p>
    <w:p w14:paraId="1709EFFB" w14:textId="77777777" w:rsidR="00FF1BC7" w:rsidRPr="00FF1BC7" w:rsidRDefault="00FF1BC7" w:rsidP="00FF1BC7">
      <w:r w:rsidRPr="00FF1BC7">
        <w:t>Governance remains essential.</w:t>
      </w:r>
    </w:p>
    <w:p w14:paraId="73482B39" w14:textId="77777777" w:rsidR="00FF1BC7" w:rsidRPr="00FF1BC7" w:rsidRDefault="00FF1BC7" w:rsidP="00FF1BC7">
      <w:r w:rsidRPr="00FF1BC7">
        <w:t>Yet all three increasingly depend on something that exists much earlier.</w:t>
      </w:r>
    </w:p>
    <w:p w14:paraId="32AF2F01" w14:textId="77777777" w:rsidR="00FF1BC7" w:rsidRPr="00FF1BC7" w:rsidRDefault="00FF1BC7" w:rsidP="00FF1BC7">
      <w:r w:rsidRPr="00FF1BC7">
        <w:t>Organizations must first possess the capability to generate reliable, identity-bound and continuity-preserved evidence throughout everyday operations.</w:t>
      </w:r>
    </w:p>
    <w:p w14:paraId="05AB189A" w14:textId="77777777" w:rsidR="00FF1BC7" w:rsidRPr="00FF1BC7" w:rsidRDefault="00FF1BC7" w:rsidP="00FF1BC7">
      <w:r w:rsidRPr="00FF1BC7">
        <w:t>This is not another reporting framework.</w:t>
      </w:r>
    </w:p>
    <w:p w14:paraId="0FDB7A41" w14:textId="77777777" w:rsidR="00FF1BC7" w:rsidRPr="00FF1BC7" w:rsidRDefault="00FF1BC7" w:rsidP="00FF1BC7">
      <w:r w:rsidRPr="00FF1BC7">
        <w:t>Nor another rating methodology.</w:t>
      </w:r>
    </w:p>
    <w:p w14:paraId="71EDCCD4" w14:textId="77777777" w:rsidR="00FF1BC7" w:rsidRPr="00FF1BC7" w:rsidRDefault="00FF1BC7" w:rsidP="00FF1BC7">
      <w:r w:rsidRPr="00FF1BC7">
        <w:t>It is an institutional capability.</w:t>
      </w:r>
    </w:p>
    <w:p w14:paraId="4AD7CA37" w14:textId="77777777" w:rsidR="00FF1BC7" w:rsidRPr="00FF1BC7" w:rsidRDefault="00FF1BC7" w:rsidP="00FF1BC7">
      <w:r w:rsidRPr="00FF1BC7">
        <w:t>Viewed through this perspective, the discussion surrounding Evidence Infrastructure becomes less about compliance itself and more about the conditions required before disclosure ever begins.</w:t>
      </w:r>
    </w:p>
    <w:p w14:paraId="53757AB8" w14:textId="77777777" w:rsidR="00FF1BC7" w:rsidRPr="00FF1BC7" w:rsidRDefault="00FF1BC7" w:rsidP="00FF1BC7">
      <w:r w:rsidRPr="00FF1BC7">
        <w:pict w14:anchorId="2FB7FAF4">
          <v:rect id="_x0000_i1098" style="width:486pt;height:.75pt" o:hrpct="0" o:hralign="center" o:hrstd="t" o:hr="t" fillcolor="#a0a0a0" stroked="f"/>
        </w:pict>
      </w:r>
    </w:p>
    <w:p w14:paraId="5CF1BD68" w14:textId="77777777" w:rsidR="00FF1BC7" w:rsidRPr="00FF1BC7" w:rsidRDefault="00FF1BC7" w:rsidP="00FF1BC7">
      <w:pPr>
        <w:rPr>
          <w:b/>
          <w:bCs/>
        </w:rPr>
      </w:pPr>
      <w:r w:rsidRPr="00FF1BC7">
        <w:rPr>
          <w:b/>
          <w:bCs/>
        </w:rPr>
        <w:t>Closing Reflection</w:t>
      </w:r>
    </w:p>
    <w:p w14:paraId="40FC3372" w14:textId="77777777" w:rsidR="00FF1BC7" w:rsidRPr="00FF1BC7" w:rsidRDefault="00FF1BC7" w:rsidP="00FF1BC7">
      <w:r w:rsidRPr="00FF1BC7">
        <w:t>Across Asian capital markets.</w:t>
      </w:r>
    </w:p>
    <w:p w14:paraId="264E6F23" w14:textId="77777777" w:rsidR="00FF1BC7" w:rsidRPr="00FF1BC7" w:rsidRDefault="00FF1BC7" w:rsidP="00FF1BC7">
      <w:r w:rsidRPr="00FF1BC7">
        <w:t>Across European securities regulators.</w:t>
      </w:r>
    </w:p>
    <w:p w14:paraId="2A0A5993" w14:textId="77777777" w:rsidR="00FF1BC7" w:rsidRPr="00FF1BC7" w:rsidRDefault="00FF1BC7" w:rsidP="00FF1BC7">
      <w:r w:rsidRPr="00FF1BC7">
        <w:t>Across global value chains.</w:t>
      </w:r>
    </w:p>
    <w:p w14:paraId="6A1B174B" w14:textId="77777777" w:rsidR="00FF1BC7" w:rsidRPr="00FF1BC7" w:rsidRDefault="00FF1BC7" w:rsidP="00FF1BC7">
      <w:r w:rsidRPr="00FF1BC7">
        <w:t>Across C-suite legal teams.</w:t>
      </w:r>
    </w:p>
    <w:p w14:paraId="2C598F9C" w14:textId="77777777" w:rsidR="00FF1BC7" w:rsidRPr="00FF1BC7" w:rsidRDefault="00FF1BC7" w:rsidP="00FF1BC7">
      <w:r w:rsidRPr="00FF1BC7">
        <w:t>Across independent assurance models.</w:t>
      </w:r>
    </w:p>
    <w:p w14:paraId="02E714B7" w14:textId="77777777" w:rsidR="00FF1BC7" w:rsidRPr="00FF1BC7" w:rsidRDefault="00FF1BC7" w:rsidP="00FF1BC7">
      <w:r w:rsidRPr="00FF1BC7">
        <w:t>A remarkably similar signal continues to emerge.</w:t>
      </w:r>
    </w:p>
    <w:p w14:paraId="76125711" w14:textId="77777777" w:rsidR="00FF1BC7" w:rsidRPr="00FF1BC7" w:rsidRDefault="00FF1BC7" w:rsidP="00FF1BC7">
      <w:r w:rsidRPr="00FF1BC7">
        <w:t>The central question is gradually changing.</w:t>
      </w:r>
    </w:p>
    <w:p w14:paraId="38A315EC" w14:textId="77777777" w:rsidR="00FF1BC7" w:rsidRPr="00FF1BC7" w:rsidRDefault="00FF1BC7" w:rsidP="00FF1BC7">
      <w:r w:rsidRPr="00FF1BC7">
        <w:t>From:</w:t>
      </w:r>
    </w:p>
    <w:p w14:paraId="638CDB1E" w14:textId="77777777" w:rsidR="00FF1BC7" w:rsidRPr="00FF1BC7" w:rsidRDefault="00FF1BC7" w:rsidP="00FF1BC7">
      <w:r w:rsidRPr="00FF1BC7">
        <w:lastRenderedPageBreak/>
        <w:t>"How should organizations report sustainability?"</w:t>
      </w:r>
    </w:p>
    <w:p w14:paraId="2DBF0CAE" w14:textId="77777777" w:rsidR="00FF1BC7" w:rsidRPr="00FF1BC7" w:rsidRDefault="00FF1BC7" w:rsidP="00FF1BC7">
      <w:r w:rsidRPr="00FF1BC7">
        <w:t>To:</w:t>
      </w:r>
    </w:p>
    <w:p w14:paraId="15562F94" w14:textId="77777777" w:rsidR="00FF1BC7" w:rsidRPr="00FF1BC7" w:rsidRDefault="00FF1BC7" w:rsidP="00FF1BC7">
      <w:r w:rsidRPr="00FF1BC7">
        <w:t>"What evidence infrastructure makes trustworthy sustainability reporting possible?"</w:t>
      </w:r>
    </w:p>
    <w:p w14:paraId="266BF55E" w14:textId="77777777" w:rsidR="00FF1BC7" w:rsidRPr="00FF1BC7" w:rsidRDefault="00FF1BC7" w:rsidP="00FF1BC7">
      <w:r w:rsidRPr="00FF1BC7">
        <w:t>Perhaps the next evolution of sustainability will not be defined by reporting alone.</w:t>
      </w:r>
    </w:p>
    <w:p w14:paraId="16B0DE42" w14:textId="77777777" w:rsidR="00FF1BC7" w:rsidRPr="00FF1BC7" w:rsidRDefault="00FF1BC7" w:rsidP="00FF1BC7">
      <w:r w:rsidRPr="00FF1BC7">
        <w:t>It may increasingly be defined by the institutional capabilities that exist before disclosure ever begins.</w:t>
      </w:r>
    </w:p>
    <w:p w14:paraId="56828E25" w14:textId="77777777" w:rsidR="00F10D07" w:rsidRDefault="00F10D07"/>
    <w:sectPr w:rsidR="00F10D0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C4"/>
    <w:rsid w:val="007E240A"/>
    <w:rsid w:val="00936CC4"/>
    <w:rsid w:val="00B159C3"/>
    <w:rsid w:val="00B835A9"/>
    <w:rsid w:val="00F10D07"/>
    <w:rsid w:val="00FF1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CD40A"/>
  <w15:chartTrackingRefBased/>
  <w15:docId w15:val="{54A53033-340E-4BDA-A91F-3E303F476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6CC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C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CC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CC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C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CC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CC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CC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CC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36CC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36C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36CC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36C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36CC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36CC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36CC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36CC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36CC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6CC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36C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6CC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36C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6C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36C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6CC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36CC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36C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36CC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36CC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FF1BC7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F1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Anderson</dc:creator>
  <cp:keywords/>
  <dc:description/>
  <cp:lastModifiedBy>Yu Anderson</cp:lastModifiedBy>
  <cp:revision>2</cp:revision>
  <dcterms:created xsi:type="dcterms:W3CDTF">2026-08-16T09:13:00Z</dcterms:created>
  <dcterms:modified xsi:type="dcterms:W3CDTF">2026-08-16T09:13:00Z</dcterms:modified>
</cp:coreProperties>
</file>