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57788" w14:textId="49B3C841" w:rsidR="000E24F5" w:rsidRPr="000E24F5" w:rsidRDefault="000E24F5" w:rsidP="000E24F5">
      <w:r w:rsidRPr="000E24F5">
        <w:drawing>
          <wp:inline distT="0" distB="0" distL="0" distR="0" wp14:anchorId="409E0909" wp14:editId="6B91C200">
            <wp:extent cx="5274310" cy="2964180"/>
            <wp:effectExtent l="0" t="0" r="2540" b="7620"/>
            <wp:docPr id="176806732" name="圖片 11" descr="A global baseline becomes local through jurisdiction-specific implement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338" descr="A global baseline becomes local through jurisdiction-specific implementatio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79138" w14:textId="77777777" w:rsidR="000E24F5" w:rsidRPr="000E24F5" w:rsidRDefault="000E24F5" w:rsidP="000E24F5">
      <w:r w:rsidRPr="000E24F5">
        <w:t>A global baseline becomes local through jurisdiction-specific implementation.</w:t>
      </w:r>
    </w:p>
    <w:p w14:paraId="0711DB4F" w14:textId="77777777" w:rsidR="00A6508E" w:rsidRDefault="000E24F5" w:rsidP="000E24F5">
      <w:pPr>
        <w:rPr>
          <w:b/>
          <w:bCs/>
        </w:rPr>
      </w:pPr>
      <w:r w:rsidRPr="000E24F5">
        <w:rPr>
          <w:b/>
          <w:bCs/>
        </w:rPr>
        <w:t xml:space="preserve">EVIDENCE INFRASTRUCTURE SIGNAL </w:t>
      </w:r>
    </w:p>
    <w:p w14:paraId="37BD8A10" w14:textId="77777777" w:rsidR="00A6508E" w:rsidRDefault="000E24F5" w:rsidP="000E24F5">
      <w:pPr>
        <w:rPr>
          <w:b/>
          <w:bCs/>
        </w:rPr>
      </w:pPr>
      <w:r w:rsidRPr="000E24F5">
        <w:rPr>
          <w:b/>
          <w:bCs/>
        </w:rPr>
        <w:t xml:space="preserve">Signal of the Week · 022 </w:t>
      </w:r>
    </w:p>
    <w:p w14:paraId="5C7AF200" w14:textId="53171640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THE LAST MILE IS JURISDICTIONAL</w:t>
      </w:r>
    </w:p>
    <w:p w14:paraId="0630A1C3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Why a Global Sustainability Baseline Still Needs Local Implementation Evidence</w:t>
      </w:r>
    </w:p>
    <w:p w14:paraId="12BA6BB7" w14:textId="77777777" w:rsidR="000E24F5" w:rsidRPr="000E24F5" w:rsidRDefault="000E24F5" w:rsidP="000E24F5">
      <w:r w:rsidRPr="000E24F5">
        <w:pict w14:anchorId="2C65A63F">
          <v:rect id="_x0000_i1154" style="width:486pt;height:.75pt" o:hrpct="0" o:hralign="center" o:hrstd="t" o:hr="t" fillcolor="#a0a0a0" stroked="f"/>
        </w:pict>
      </w:r>
    </w:p>
    <w:p w14:paraId="14C315F6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Evidence Infrastructure Signal</w:t>
      </w:r>
    </w:p>
    <w:p w14:paraId="1B2E46FA" w14:textId="77777777" w:rsidR="000E24F5" w:rsidRPr="000E24F5" w:rsidRDefault="000E24F5" w:rsidP="000E24F5">
      <w:r w:rsidRPr="000E24F5">
        <w:t xml:space="preserve">Evidence Infrastructure Signal examines developments across sustainability reporting, governance, standards and evidence systems that may reveal broader requirements for </w:t>
      </w:r>
      <w:r w:rsidRPr="000E24F5">
        <w:rPr>
          <w:b/>
          <w:bCs/>
        </w:rPr>
        <w:t>Pre-Disclosure Evidence Infrastructure</w:t>
      </w:r>
      <w:r w:rsidRPr="000E24F5">
        <w:t>.</w:t>
      </w:r>
    </w:p>
    <w:p w14:paraId="596598AB" w14:textId="77777777" w:rsidR="000E24F5" w:rsidRPr="000E24F5" w:rsidRDefault="000E24F5" w:rsidP="000E24F5">
      <w:r w:rsidRPr="000E24F5">
        <w:t>This week's signal begins with one of the most important objectives in sustainability reporting:</w:t>
      </w:r>
    </w:p>
    <w:p w14:paraId="299ECCA3" w14:textId="77777777" w:rsidR="000E24F5" w:rsidRPr="000E24F5" w:rsidRDefault="000E24F5" w:rsidP="000E24F5">
      <w:r w:rsidRPr="000E24F5">
        <w:rPr>
          <w:b/>
          <w:bCs/>
        </w:rPr>
        <w:t>a global baseline.</w:t>
      </w:r>
    </w:p>
    <w:p w14:paraId="4C1D4E00" w14:textId="77777777" w:rsidR="000E24F5" w:rsidRPr="000E24F5" w:rsidRDefault="000E24F5" w:rsidP="000E24F5">
      <w:r w:rsidRPr="000E24F5">
        <w:t>IFRS S1 and IFRS S2 were designed to establish globally applicable sustainability-related financial disclosure requirements for capital markets.</w:t>
      </w:r>
    </w:p>
    <w:p w14:paraId="1B46261A" w14:textId="77777777" w:rsidR="000E24F5" w:rsidRPr="000E24F5" w:rsidRDefault="000E24F5" w:rsidP="000E24F5">
      <w:r w:rsidRPr="000E24F5">
        <w:t>But a global baseline does not reach companies directly.</w:t>
      </w:r>
    </w:p>
    <w:p w14:paraId="6D306D96" w14:textId="77777777" w:rsidR="000E24F5" w:rsidRPr="000E24F5" w:rsidRDefault="000E24F5" w:rsidP="000E24F5">
      <w:r w:rsidRPr="000E24F5">
        <w:lastRenderedPageBreak/>
        <w:t>It travels through jurisdictions.</w:t>
      </w:r>
    </w:p>
    <w:p w14:paraId="75E911E5" w14:textId="77777777" w:rsidR="000E24F5" w:rsidRPr="000E24F5" w:rsidRDefault="000E24F5" w:rsidP="000E24F5">
      <w:r w:rsidRPr="000E24F5">
        <w:t>It is endorsed.</w:t>
      </w:r>
    </w:p>
    <w:p w14:paraId="09606885" w14:textId="77777777" w:rsidR="000E24F5" w:rsidRPr="000E24F5" w:rsidRDefault="000E24F5" w:rsidP="000E24F5">
      <w:r w:rsidRPr="000E24F5">
        <w:t>Translated.</w:t>
      </w:r>
    </w:p>
    <w:p w14:paraId="52966033" w14:textId="77777777" w:rsidR="000E24F5" w:rsidRPr="000E24F5" w:rsidRDefault="000E24F5" w:rsidP="000E24F5">
      <w:r w:rsidRPr="000E24F5">
        <w:t>Adapted.</w:t>
      </w:r>
    </w:p>
    <w:p w14:paraId="6DF572F8" w14:textId="77777777" w:rsidR="000E24F5" w:rsidRPr="000E24F5" w:rsidRDefault="000E24F5" w:rsidP="000E24F5">
      <w:r w:rsidRPr="000E24F5">
        <w:t>Phased in.</w:t>
      </w:r>
    </w:p>
    <w:p w14:paraId="7C488A41" w14:textId="77777777" w:rsidR="000E24F5" w:rsidRPr="000E24F5" w:rsidRDefault="000E24F5" w:rsidP="000E24F5">
      <w:r w:rsidRPr="000E24F5">
        <w:t>Placed into listing rules.</w:t>
      </w:r>
    </w:p>
    <w:p w14:paraId="05ECCAB1" w14:textId="77777777" w:rsidR="000E24F5" w:rsidRPr="000E24F5" w:rsidRDefault="000E24F5" w:rsidP="000E24F5">
      <w:r w:rsidRPr="000E24F5">
        <w:t>Connected to entity scope.</w:t>
      </w:r>
    </w:p>
    <w:p w14:paraId="68288B24" w14:textId="77777777" w:rsidR="000E24F5" w:rsidRPr="000E24F5" w:rsidRDefault="000E24F5" w:rsidP="000E24F5">
      <w:r w:rsidRPr="000E24F5">
        <w:t>Given effective dates.</w:t>
      </w:r>
    </w:p>
    <w:p w14:paraId="766ECFAC" w14:textId="77777777" w:rsidR="000E24F5" w:rsidRPr="000E24F5" w:rsidRDefault="000E24F5" w:rsidP="000E24F5">
      <w:r w:rsidRPr="000E24F5">
        <w:t>Given transitional reliefs.</w:t>
      </w:r>
    </w:p>
    <w:p w14:paraId="1421F365" w14:textId="77777777" w:rsidR="000E24F5" w:rsidRPr="000E24F5" w:rsidRDefault="000E24F5" w:rsidP="000E24F5">
      <w:r w:rsidRPr="000E24F5">
        <w:t>And sometimes converted into local comply or explain requirements.</w:t>
      </w:r>
    </w:p>
    <w:p w14:paraId="7583318B" w14:textId="77777777" w:rsidR="000E24F5" w:rsidRPr="000E24F5" w:rsidRDefault="000E24F5" w:rsidP="000E24F5">
      <w:r w:rsidRPr="000E24F5">
        <w:t>This creates another layer of interoperability.</w:t>
      </w:r>
    </w:p>
    <w:p w14:paraId="4510A91E" w14:textId="77777777" w:rsidR="000E24F5" w:rsidRPr="000E24F5" w:rsidRDefault="000E24F5" w:rsidP="000E24F5">
      <w:r w:rsidRPr="000E24F5">
        <w:t>Not between standards.</w:t>
      </w:r>
    </w:p>
    <w:p w14:paraId="2B34B50C" w14:textId="77777777" w:rsidR="000E24F5" w:rsidRPr="000E24F5" w:rsidRDefault="000E24F5" w:rsidP="000E24F5">
      <w:r w:rsidRPr="000E24F5">
        <w:t>Between:</w:t>
      </w:r>
    </w:p>
    <w:p w14:paraId="20125C56" w14:textId="77777777" w:rsidR="000E24F5" w:rsidRPr="000E24F5" w:rsidRDefault="000E24F5" w:rsidP="000E24F5">
      <w:r w:rsidRPr="000E24F5">
        <w:rPr>
          <w:b/>
          <w:bCs/>
        </w:rPr>
        <w:t>a global standard and its local regulatory state.</w:t>
      </w:r>
    </w:p>
    <w:p w14:paraId="7B6D13F3" w14:textId="77777777" w:rsidR="000E24F5" w:rsidRPr="000E24F5" w:rsidRDefault="000E24F5" w:rsidP="000E24F5">
      <w:r w:rsidRPr="000E24F5">
        <w:t>That is the focus of EIS · 022.</w:t>
      </w:r>
    </w:p>
    <w:p w14:paraId="22A340C6" w14:textId="77777777" w:rsidR="000E24F5" w:rsidRPr="000E24F5" w:rsidRDefault="000E24F5" w:rsidP="000E24F5">
      <w:r w:rsidRPr="000E24F5">
        <w:pict w14:anchorId="52A79A99">
          <v:rect id="_x0000_i1155" style="width:486pt;height:.75pt" o:hrpct="0" o:hralign="center" o:hrstd="t" o:hr="t" fillcolor="#a0a0a0" stroked="f"/>
        </w:pict>
      </w:r>
    </w:p>
    <w:p w14:paraId="6BF8AA31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01 | The Signal</w:t>
      </w:r>
    </w:p>
    <w:p w14:paraId="3DA617D5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The Standard Can Be Global. The Obligation State Cannot.</w:t>
      </w:r>
    </w:p>
    <w:p w14:paraId="27ED0DF0" w14:textId="77777777" w:rsidR="000E24F5" w:rsidRPr="000E24F5" w:rsidRDefault="000E24F5" w:rsidP="000E24F5">
      <w:r w:rsidRPr="000E24F5">
        <w:t xml:space="preserve">On 30 September 2026, the UK Financial Conduct Authority published </w:t>
      </w:r>
      <w:r w:rsidRPr="000E24F5">
        <w:rPr>
          <w:b/>
          <w:bCs/>
        </w:rPr>
        <w:t>PS26/19</w:t>
      </w:r>
      <w:r w:rsidRPr="000E24F5">
        <w:t xml:space="preserve">, </w:t>
      </w:r>
      <w:proofErr w:type="spellStart"/>
      <w:r w:rsidRPr="000E24F5">
        <w:t>finalising</w:t>
      </w:r>
      <w:proofErr w:type="spellEnd"/>
      <w:r w:rsidRPr="000E24F5">
        <w:t xml:space="preserve"> new sustainability disclosure rules for listed issuers.</w:t>
      </w:r>
    </w:p>
    <w:p w14:paraId="4C3C7592" w14:textId="77777777" w:rsidR="000E24F5" w:rsidRPr="000E24F5" w:rsidRDefault="000E24F5" w:rsidP="000E24F5">
      <w:r w:rsidRPr="000E24F5">
        <w:t xml:space="preserve">The rules align reporting with the </w:t>
      </w:r>
      <w:r w:rsidRPr="000E24F5">
        <w:rPr>
          <w:b/>
          <w:bCs/>
        </w:rPr>
        <w:t>UK Sustainability Reporting Standards</w:t>
      </w:r>
      <w:r w:rsidRPr="000E24F5">
        <w:t>, themselves the UK's endorsed versions of ISSB Standards.</w:t>
      </w:r>
    </w:p>
    <w:p w14:paraId="46774385" w14:textId="77777777" w:rsidR="000E24F5" w:rsidRPr="000E24F5" w:rsidRDefault="000E24F5" w:rsidP="000E24F5">
      <w:r w:rsidRPr="000E24F5">
        <w:t>But the final FCA architecture does not simply say:</w:t>
      </w:r>
    </w:p>
    <w:p w14:paraId="68662B37" w14:textId="77777777" w:rsidR="000E24F5" w:rsidRPr="000E24F5" w:rsidRDefault="000E24F5" w:rsidP="000E24F5">
      <w:r w:rsidRPr="000E24F5">
        <w:t>apply ISSB Standards.</w:t>
      </w:r>
    </w:p>
    <w:p w14:paraId="3294DE62" w14:textId="77777777" w:rsidR="000E24F5" w:rsidRPr="000E24F5" w:rsidRDefault="000E24F5" w:rsidP="000E24F5">
      <w:r w:rsidRPr="000E24F5">
        <w:t xml:space="preserve">Instead, in-scope listed companies will report against UK SRS S1 and UK SRS S2 </w:t>
      </w:r>
      <w:r w:rsidRPr="000E24F5">
        <w:lastRenderedPageBreak/>
        <w:t xml:space="preserve">on a </w:t>
      </w:r>
      <w:r w:rsidRPr="000E24F5">
        <w:rPr>
          <w:b/>
          <w:bCs/>
        </w:rPr>
        <w:t>comply or explain basis</w:t>
      </w:r>
      <w:r w:rsidRPr="000E24F5">
        <w:t xml:space="preserve"> for accounting periods beginning on or after 1 January 2027. First reporting will therefore occur in 2028. The rules also include optional transitional reliefs of one year for Scope 3 emissions disclosures and two years for broader sustainability disclosures under UK SRS S1. </w:t>
      </w:r>
      <w:hyperlink r:id="rId5" w:tgtFrame="_self" w:history="1">
        <w:r w:rsidRPr="000E24F5">
          <w:rPr>
            <w:rStyle w:val="ae"/>
            <w:b/>
            <w:bCs/>
          </w:rPr>
          <w:t>FCA</w:t>
        </w:r>
      </w:hyperlink>
    </w:p>
    <w:p w14:paraId="142423AE" w14:textId="77777777" w:rsidR="000E24F5" w:rsidRPr="000E24F5" w:rsidRDefault="000E24F5" w:rsidP="000E24F5">
      <w:r w:rsidRPr="000E24F5">
        <w:t>This is not a rejection of the global baseline.</w:t>
      </w:r>
    </w:p>
    <w:p w14:paraId="49798807" w14:textId="77777777" w:rsidR="000E24F5" w:rsidRPr="000E24F5" w:rsidRDefault="000E24F5" w:rsidP="000E24F5">
      <w:r w:rsidRPr="000E24F5">
        <w:t>It is its implementation.</w:t>
      </w:r>
    </w:p>
    <w:p w14:paraId="566448C3" w14:textId="77777777" w:rsidR="000E24F5" w:rsidRPr="000E24F5" w:rsidRDefault="000E24F5" w:rsidP="000E24F5">
      <w:r w:rsidRPr="000E24F5">
        <w:t>And that distinction matters.</w:t>
      </w:r>
    </w:p>
    <w:p w14:paraId="604840F9" w14:textId="77777777" w:rsidR="000E24F5" w:rsidRPr="000E24F5" w:rsidRDefault="000E24F5" w:rsidP="000E24F5">
      <w:r w:rsidRPr="000E24F5">
        <w:t>The same global architecture can acquire different local characteristics:</w:t>
      </w:r>
    </w:p>
    <w:p w14:paraId="4EF16C05" w14:textId="77777777" w:rsidR="000E24F5" w:rsidRPr="000E24F5" w:rsidRDefault="000E24F5" w:rsidP="000E24F5">
      <w:r w:rsidRPr="000E24F5">
        <w:rPr>
          <w:b/>
          <w:bCs/>
        </w:rPr>
        <w:t>scope</w:t>
      </w:r>
    </w:p>
    <w:p w14:paraId="1EC9D44F" w14:textId="77777777" w:rsidR="000E24F5" w:rsidRPr="000E24F5" w:rsidRDefault="000E24F5" w:rsidP="000E24F5">
      <w:r w:rsidRPr="000E24F5">
        <w:rPr>
          <w:b/>
          <w:bCs/>
        </w:rPr>
        <w:t>timing</w:t>
      </w:r>
    </w:p>
    <w:p w14:paraId="3FE2A208" w14:textId="77777777" w:rsidR="000E24F5" w:rsidRPr="000E24F5" w:rsidRDefault="000E24F5" w:rsidP="000E24F5">
      <w:r w:rsidRPr="000E24F5">
        <w:rPr>
          <w:b/>
          <w:bCs/>
        </w:rPr>
        <w:t>obligation</w:t>
      </w:r>
    </w:p>
    <w:p w14:paraId="746EE3BF" w14:textId="77777777" w:rsidR="000E24F5" w:rsidRPr="000E24F5" w:rsidRDefault="000E24F5" w:rsidP="000E24F5">
      <w:r w:rsidRPr="000E24F5">
        <w:rPr>
          <w:b/>
          <w:bCs/>
        </w:rPr>
        <w:t>transition</w:t>
      </w:r>
    </w:p>
    <w:p w14:paraId="5D24043B" w14:textId="77777777" w:rsidR="000E24F5" w:rsidRPr="000E24F5" w:rsidRDefault="000E24F5" w:rsidP="000E24F5">
      <w:r w:rsidRPr="000E24F5">
        <w:rPr>
          <w:b/>
          <w:bCs/>
        </w:rPr>
        <w:t>explanation requirements</w:t>
      </w:r>
    </w:p>
    <w:p w14:paraId="49C3305D" w14:textId="77777777" w:rsidR="000E24F5" w:rsidRPr="000E24F5" w:rsidRDefault="000E24F5" w:rsidP="000E24F5">
      <w:r w:rsidRPr="000E24F5">
        <w:t xml:space="preserve">and </w:t>
      </w:r>
      <w:r w:rsidRPr="000E24F5">
        <w:rPr>
          <w:b/>
          <w:bCs/>
        </w:rPr>
        <w:t>supervisory context</w:t>
      </w:r>
    </w:p>
    <w:p w14:paraId="60232CF6" w14:textId="77777777" w:rsidR="000E24F5" w:rsidRPr="000E24F5" w:rsidRDefault="000E24F5" w:rsidP="000E24F5">
      <w:r w:rsidRPr="000E24F5">
        <w:t>before it reaches the reporting entity.</w:t>
      </w:r>
    </w:p>
    <w:p w14:paraId="4080B6A7" w14:textId="77777777" w:rsidR="000E24F5" w:rsidRPr="000E24F5" w:rsidRDefault="000E24F5" w:rsidP="000E24F5">
      <w:r w:rsidRPr="000E24F5">
        <w:t>The global baseline therefore solves one interoperability problem.</w:t>
      </w:r>
    </w:p>
    <w:p w14:paraId="24EC03FB" w14:textId="77777777" w:rsidR="000E24F5" w:rsidRPr="000E24F5" w:rsidRDefault="000E24F5" w:rsidP="000E24F5">
      <w:r w:rsidRPr="000E24F5">
        <w:t>It does not eliminate the jurisdictional one.</w:t>
      </w:r>
    </w:p>
    <w:p w14:paraId="0D616976" w14:textId="77777777" w:rsidR="000E24F5" w:rsidRPr="000E24F5" w:rsidRDefault="000E24F5" w:rsidP="000E24F5">
      <w:r w:rsidRPr="000E24F5">
        <w:pict w14:anchorId="02E2C603">
          <v:rect id="_x0000_i1156" style="width:486pt;height:.75pt" o:hrpct="0" o:hralign="center" o:hrstd="t" o:hr="t" fillcolor="#a0a0a0" stroked="f"/>
        </w:pict>
      </w:r>
    </w:p>
    <w:p w14:paraId="6D178CF6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02 | The Jurisdictional Last Mile</w:t>
      </w:r>
    </w:p>
    <w:p w14:paraId="3B87A2F1" w14:textId="77777777" w:rsidR="000E24F5" w:rsidRPr="000E24F5" w:rsidRDefault="000E24F5" w:rsidP="000E24F5">
      <w:r w:rsidRPr="000E24F5">
        <w:t>A sustainability standard can define:</w:t>
      </w:r>
    </w:p>
    <w:p w14:paraId="5D82CED7" w14:textId="77777777" w:rsidR="000E24F5" w:rsidRPr="000E24F5" w:rsidRDefault="000E24F5" w:rsidP="000E24F5">
      <w:r w:rsidRPr="000E24F5">
        <w:t>what information investors need,</w:t>
      </w:r>
    </w:p>
    <w:p w14:paraId="7E45FF65" w14:textId="77777777" w:rsidR="000E24F5" w:rsidRPr="000E24F5" w:rsidRDefault="000E24F5" w:rsidP="000E24F5">
      <w:r w:rsidRPr="000E24F5">
        <w:t>how materiality is understood,</w:t>
      </w:r>
    </w:p>
    <w:p w14:paraId="5E63B81B" w14:textId="77777777" w:rsidR="000E24F5" w:rsidRPr="000E24F5" w:rsidRDefault="000E24F5" w:rsidP="000E24F5">
      <w:r w:rsidRPr="000E24F5">
        <w:t>how disclosures connect,</w:t>
      </w:r>
    </w:p>
    <w:p w14:paraId="329ACBBC" w14:textId="77777777" w:rsidR="000E24F5" w:rsidRPr="000E24F5" w:rsidRDefault="000E24F5" w:rsidP="000E24F5">
      <w:r w:rsidRPr="000E24F5">
        <w:t>which climate information is relevant,</w:t>
      </w:r>
    </w:p>
    <w:p w14:paraId="7786C2A9" w14:textId="77777777" w:rsidR="000E24F5" w:rsidRPr="000E24F5" w:rsidRDefault="000E24F5" w:rsidP="000E24F5">
      <w:r w:rsidRPr="000E24F5">
        <w:t>and what reporting principles should apply.</w:t>
      </w:r>
    </w:p>
    <w:p w14:paraId="07E6C5A8" w14:textId="77777777" w:rsidR="000E24F5" w:rsidRPr="000E24F5" w:rsidRDefault="000E24F5" w:rsidP="000E24F5">
      <w:r w:rsidRPr="000E24F5">
        <w:lastRenderedPageBreak/>
        <w:t>But the standard itself does not always determine:</w:t>
      </w:r>
    </w:p>
    <w:p w14:paraId="3B39860A" w14:textId="77777777" w:rsidR="000E24F5" w:rsidRPr="000E24F5" w:rsidRDefault="000E24F5" w:rsidP="000E24F5">
      <w:r w:rsidRPr="000E24F5">
        <w:t>which local entities are legally in scope,</w:t>
      </w:r>
    </w:p>
    <w:p w14:paraId="28D7F677" w14:textId="77777777" w:rsidR="000E24F5" w:rsidRPr="000E24F5" w:rsidRDefault="000E24F5" w:rsidP="000E24F5">
      <w:r w:rsidRPr="000E24F5">
        <w:t>when mandatory application begins,</w:t>
      </w:r>
    </w:p>
    <w:p w14:paraId="0016FBFD" w14:textId="77777777" w:rsidR="000E24F5" w:rsidRPr="000E24F5" w:rsidRDefault="000E24F5" w:rsidP="000E24F5">
      <w:r w:rsidRPr="000E24F5">
        <w:t>whether climate-only transition is available,</w:t>
      </w:r>
    </w:p>
    <w:p w14:paraId="0CCDDAB3" w14:textId="77777777" w:rsidR="000E24F5" w:rsidRPr="000E24F5" w:rsidRDefault="000E24F5" w:rsidP="000E24F5">
      <w:r w:rsidRPr="000E24F5">
        <w:t>whether disclosures operate under mandatory compliance or comply-or-explain,</w:t>
      </w:r>
    </w:p>
    <w:p w14:paraId="504BCAF0" w14:textId="77777777" w:rsidR="000E24F5" w:rsidRPr="000E24F5" w:rsidRDefault="000E24F5" w:rsidP="000E24F5">
      <w:r w:rsidRPr="000E24F5">
        <w:t>how reliefs are phased out,</w:t>
      </w:r>
    </w:p>
    <w:p w14:paraId="06B52C61" w14:textId="77777777" w:rsidR="000E24F5" w:rsidRPr="000E24F5" w:rsidRDefault="000E24F5" w:rsidP="000E24F5">
      <w:r w:rsidRPr="000E24F5">
        <w:t>or which regulator supervises application.</w:t>
      </w:r>
    </w:p>
    <w:p w14:paraId="6F7448AC" w14:textId="77777777" w:rsidR="000E24F5" w:rsidRPr="000E24F5" w:rsidRDefault="000E24F5" w:rsidP="000E24F5">
      <w:r w:rsidRPr="000E24F5">
        <w:t>Those decisions happen elsewhere.</w:t>
      </w:r>
    </w:p>
    <w:p w14:paraId="5B14DA9B" w14:textId="77777777" w:rsidR="000E24F5" w:rsidRPr="000E24F5" w:rsidRDefault="000E24F5" w:rsidP="000E24F5">
      <w:r w:rsidRPr="000E24F5">
        <w:t>The reporting chain therefore looks less like:</w:t>
      </w:r>
    </w:p>
    <w:p w14:paraId="4A134A58" w14:textId="77777777" w:rsidR="000E24F5" w:rsidRPr="000E24F5" w:rsidRDefault="000E24F5" w:rsidP="000E24F5">
      <w:r w:rsidRPr="000E24F5">
        <w:rPr>
          <w:b/>
          <w:bCs/>
        </w:rPr>
        <w:t>Global Standard → Company Disclosure</w:t>
      </w:r>
    </w:p>
    <w:p w14:paraId="6117EA3C" w14:textId="77777777" w:rsidR="000E24F5" w:rsidRPr="000E24F5" w:rsidRDefault="000E24F5" w:rsidP="000E24F5">
      <w:r w:rsidRPr="000E24F5">
        <w:t>and more like:</w:t>
      </w:r>
    </w:p>
    <w:p w14:paraId="6D81D896" w14:textId="77777777" w:rsidR="000E24F5" w:rsidRPr="000E24F5" w:rsidRDefault="000E24F5" w:rsidP="000E24F5">
      <w:r w:rsidRPr="000E24F5">
        <w:rPr>
          <w:b/>
          <w:bCs/>
        </w:rPr>
        <w:t>Global Standard → Jurisdictional Adoption → Local Regulatory Architecture → Entity Scope → Effective Period → Obligation State → Transitional Relief → Disclosure</w:t>
      </w:r>
    </w:p>
    <w:p w14:paraId="295ED5B3" w14:textId="77777777" w:rsidR="000E24F5" w:rsidRPr="000E24F5" w:rsidRDefault="000E24F5" w:rsidP="000E24F5">
      <w:r w:rsidRPr="000E24F5">
        <w:t>The last mile is jurisdictional.</w:t>
      </w:r>
    </w:p>
    <w:p w14:paraId="3638FA63" w14:textId="77777777" w:rsidR="000E24F5" w:rsidRPr="000E24F5" w:rsidRDefault="000E24F5" w:rsidP="000E24F5">
      <w:r w:rsidRPr="000E24F5">
        <w:t>See content credentials</w:t>
      </w:r>
    </w:p>
    <w:p w14:paraId="42EA70F2" w14:textId="1805D13B" w:rsidR="000E24F5" w:rsidRPr="000E24F5" w:rsidRDefault="000E24F5" w:rsidP="000E24F5">
      <w:r w:rsidRPr="000E24F5">
        <w:lastRenderedPageBreak/>
        <w:drawing>
          <wp:inline distT="0" distB="0" distL="0" distR="0" wp14:anchorId="50D3202E" wp14:editId="12E93794">
            <wp:extent cx="5274310" cy="7911465"/>
            <wp:effectExtent l="0" t="0" r="2540" b="0"/>
            <wp:docPr id="665353174" name="圖片 9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21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BCA9B" w14:textId="77777777" w:rsidR="000E24F5" w:rsidRPr="000E24F5" w:rsidRDefault="000E24F5" w:rsidP="000E24F5">
      <w:r w:rsidRPr="000E24F5">
        <w:t>One global baseline can produce multiple jurisdictional implementation states.</w:t>
      </w:r>
    </w:p>
    <w:p w14:paraId="74987C37" w14:textId="77777777" w:rsidR="000E24F5" w:rsidRPr="000E24F5" w:rsidRDefault="000E24F5" w:rsidP="000E24F5">
      <w:r w:rsidRPr="000E24F5">
        <w:pict w14:anchorId="4E865C4E">
          <v:rect id="_x0000_i1158" style="width:486pt;height:.75pt" o:hrpct="0" o:hralign="center" o:hrstd="t" o:hr="t" fillcolor="#a0a0a0" stroked="f"/>
        </w:pict>
      </w:r>
    </w:p>
    <w:p w14:paraId="18E23701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lastRenderedPageBreak/>
        <w:t>03 | The UK Case</w:t>
      </w:r>
    </w:p>
    <w:p w14:paraId="3964DFEE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Alignment Still Produces a Local Regulatory State</w:t>
      </w:r>
    </w:p>
    <w:p w14:paraId="6DEF7AA2" w14:textId="77777777" w:rsidR="000E24F5" w:rsidRPr="000E24F5" w:rsidRDefault="000E24F5" w:rsidP="000E24F5">
      <w:r w:rsidRPr="000E24F5">
        <w:t>The UK provides an unusually clear current example.</w:t>
      </w:r>
    </w:p>
    <w:p w14:paraId="17409C81" w14:textId="77777777" w:rsidR="000E24F5" w:rsidRPr="000E24F5" w:rsidRDefault="000E24F5" w:rsidP="000E24F5">
      <w:r w:rsidRPr="000E24F5">
        <w:t xml:space="preserve">The UK Government </w:t>
      </w:r>
      <w:proofErr w:type="spellStart"/>
      <w:r w:rsidRPr="000E24F5">
        <w:t>finalised</w:t>
      </w:r>
      <w:proofErr w:type="spellEnd"/>
      <w:r w:rsidRPr="000E24F5">
        <w:t xml:space="preserve"> </w:t>
      </w:r>
      <w:r w:rsidRPr="000E24F5">
        <w:rPr>
          <w:b/>
          <w:bCs/>
        </w:rPr>
        <w:t>UK SRS S1 and UK SRS S2</w:t>
      </w:r>
      <w:r w:rsidRPr="000E24F5">
        <w:t xml:space="preserve"> in February 2026 after assessing and endorsing the ISSB global baseline for UK use. Those standards are available for voluntary use independently of FCA requirements. </w:t>
      </w:r>
      <w:hyperlink r:id="rId7" w:tgtFrame="_self" w:history="1">
        <w:r w:rsidRPr="000E24F5">
          <w:rPr>
            <w:rStyle w:val="ae"/>
            <w:b/>
            <w:bCs/>
          </w:rPr>
          <w:t>GOV.UK</w:t>
        </w:r>
      </w:hyperlink>
    </w:p>
    <w:p w14:paraId="24C0B9E3" w14:textId="77777777" w:rsidR="000E24F5" w:rsidRPr="000E24F5" w:rsidRDefault="000E24F5" w:rsidP="000E24F5">
      <w:r w:rsidRPr="000E24F5">
        <w:t>The FCA then took another institutional step.</w:t>
      </w:r>
    </w:p>
    <w:p w14:paraId="10A7F5B6" w14:textId="77777777" w:rsidR="000E24F5" w:rsidRPr="000E24F5" w:rsidRDefault="000E24F5" w:rsidP="000E24F5">
      <w:r w:rsidRPr="000E24F5">
        <w:t>It determined how UK SRS should operate for in-scope listed issuers.</w:t>
      </w:r>
    </w:p>
    <w:p w14:paraId="1689FC18" w14:textId="77777777" w:rsidR="000E24F5" w:rsidRPr="000E24F5" w:rsidRDefault="000E24F5" w:rsidP="000E24F5">
      <w:r w:rsidRPr="000E24F5">
        <w:t>The resulting pathway is:</w:t>
      </w:r>
    </w:p>
    <w:p w14:paraId="4698E84E" w14:textId="77777777" w:rsidR="000E24F5" w:rsidRPr="000E24F5" w:rsidRDefault="000E24F5" w:rsidP="000E24F5">
      <w:r w:rsidRPr="000E24F5">
        <w:rPr>
          <w:b/>
          <w:bCs/>
        </w:rPr>
        <w:t>ISSB Standards</w:t>
      </w:r>
    </w:p>
    <w:p w14:paraId="7314CC07" w14:textId="77777777" w:rsidR="000E24F5" w:rsidRPr="000E24F5" w:rsidRDefault="000E24F5" w:rsidP="000E24F5">
      <w:r w:rsidRPr="000E24F5">
        <w:t>↓</w:t>
      </w:r>
    </w:p>
    <w:p w14:paraId="7FE4249F" w14:textId="77777777" w:rsidR="000E24F5" w:rsidRPr="000E24F5" w:rsidRDefault="000E24F5" w:rsidP="000E24F5">
      <w:r w:rsidRPr="000E24F5">
        <w:rPr>
          <w:b/>
          <w:bCs/>
        </w:rPr>
        <w:t>UK endorsement</w:t>
      </w:r>
    </w:p>
    <w:p w14:paraId="6E5DE02B" w14:textId="77777777" w:rsidR="000E24F5" w:rsidRPr="000E24F5" w:rsidRDefault="000E24F5" w:rsidP="000E24F5">
      <w:r w:rsidRPr="000E24F5">
        <w:t>↓</w:t>
      </w:r>
    </w:p>
    <w:p w14:paraId="226DCDEE" w14:textId="77777777" w:rsidR="000E24F5" w:rsidRPr="000E24F5" w:rsidRDefault="000E24F5" w:rsidP="000E24F5">
      <w:r w:rsidRPr="000E24F5">
        <w:rPr>
          <w:b/>
          <w:bCs/>
        </w:rPr>
        <w:t>UK SRS S1 / S2</w:t>
      </w:r>
    </w:p>
    <w:p w14:paraId="6981E41F" w14:textId="77777777" w:rsidR="000E24F5" w:rsidRPr="000E24F5" w:rsidRDefault="000E24F5" w:rsidP="000E24F5">
      <w:r w:rsidRPr="000E24F5">
        <w:t>↓</w:t>
      </w:r>
    </w:p>
    <w:p w14:paraId="37197019" w14:textId="77777777" w:rsidR="000E24F5" w:rsidRPr="000E24F5" w:rsidRDefault="000E24F5" w:rsidP="000E24F5">
      <w:r w:rsidRPr="000E24F5">
        <w:rPr>
          <w:b/>
          <w:bCs/>
        </w:rPr>
        <w:t>FCA Listing Rules</w:t>
      </w:r>
    </w:p>
    <w:p w14:paraId="65EE4C11" w14:textId="77777777" w:rsidR="000E24F5" w:rsidRPr="000E24F5" w:rsidRDefault="000E24F5" w:rsidP="000E24F5">
      <w:r w:rsidRPr="000E24F5">
        <w:t>↓</w:t>
      </w:r>
    </w:p>
    <w:p w14:paraId="01E911FB" w14:textId="77777777" w:rsidR="000E24F5" w:rsidRPr="000E24F5" w:rsidRDefault="000E24F5" w:rsidP="000E24F5">
      <w:r w:rsidRPr="000E24F5">
        <w:rPr>
          <w:b/>
          <w:bCs/>
        </w:rPr>
        <w:t>Comply or Explain</w:t>
      </w:r>
    </w:p>
    <w:p w14:paraId="65636994" w14:textId="77777777" w:rsidR="000E24F5" w:rsidRPr="000E24F5" w:rsidRDefault="000E24F5" w:rsidP="000E24F5">
      <w:r w:rsidRPr="000E24F5">
        <w:t>↓</w:t>
      </w:r>
    </w:p>
    <w:p w14:paraId="31D630BB" w14:textId="77777777" w:rsidR="000E24F5" w:rsidRPr="000E24F5" w:rsidRDefault="000E24F5" w:rsidP="000E24F5">
      <w:r w:rsidRPr="000E24F5">
        <w:rPr>
          <w:b/>
          <w:bCs/>
        </w:rPr>
        <w:t>Transitional Relief</w:t>
      </w:r>
    </w:p>
    <w:p w14:paraId="011837E0" w14:textId="77777777" w:rsidR="000E24F5" w:rsidRPr="000E24F5" w:rsidRDefault="000E24F5" w:rsidP="000E24F5">
      <w:r w:rsidRPr="000E24F5">
        <w:t>↓</w:t>
      </w:r>
    </w:p>
    <w:p w14:paraId="192439DC" w14:textId="77777777" w:rsidR="000E24F5" w:rsidRPr="000E24F5" w:rsidRDefault="000E24F5" w:rsidP="000E24F5">
      <w:r w:rsidRPr="000E24F5">
        <w:rPr>
          <w:b/>
          <w:bCs/>
        </w:rPr>
        <w:t>Entity Disclosure</w:t>
      </w:r>
    </w:p>
    <w:p w14:paraId="1DCC6A38" w14:textId="77777777" w:rsidR="000E24F5" w:rsidRPr="000E24F5" w:rsidRDefault="000E24F5" w:rsidP="000E24F5">
      <w:r w:rsidRPr="000E24F5">
        <w:t>That chain matters because each stage adds institutional meaning.</w:t>
      </w:r>
    </w:p>
    <w:p w14:paraId="46139549" w14:textId="77777777" w:rsidR="000E24F5" w:rsidRPr="000E24F5" w:rsidRDefault="000E24F5" w:rsidP="000E24F5">
      <w:r w:rsidRPr="000E24F5">
        <w:t>A disclosure may be:</w:t>
      </w:r>
    </w:p>
    <w:p w14:paraId="7852F6C8" w14:textId="77777777" w:rsidR="000E24F5" w:rsidRPr="000E24F5" w:rsidRDefault="000E24F5" w:rsidP="000E24F5">
      <w:r w:rsidRPr="000E24F5">
        <w:t>aligned with UK SRS,</w:t>
      </w:r>
    </w:p>
    <w:p w14:paraId="21D25656" w14:textId="77777777" w:rsidR="000E24F5" w:rsidRPr="000E24F5" w:rsidRDefault="000E24F5" w:rsidP="000E24F5">
      <w:r w:rsidRPr="000E24F5">
        <w:lastRenderedPageBreak/>
        <w:t>subject to FCA rules,</w:t>
      </w:r>
    </w:p>
    <w:p w14:paraId="1D46E880" w14:textId="77777777" w:rsidR="000E24F5" w:rsidRPr="000E24F5" w:rsidRDefault="000E24F5" w:rsidP="000E24F5">
      <w:r w:rsidRPr="000E24F5">
        <w:t>inside a transitional period,</w:t>
      </w:r>
    </w:p>
    <w:p w14:paraId="44524660" w14:textId="77777777" w:rsidR="000E24F5" w:rsidRPr="000E24F5" w:rsidRDefault="000E24F5" w:rsidP="000E24F5">
      <w:r w:rsidRPr="000E24F5">
        <w:t>compliant with some requirements,</w:t>
      </w:r>
    </w:p>
    <w:p w14:paraId="23629C7B" w14:textId="77777777" w:rsidR="000E24F5" w:rsidRPr="000E24F5" w:rsidRDefault="000E24F5" w:rsidP="000E24F5">
      <w:r w:rsidRPr="000E24F5">
        <w:t>and accompanied by explanations for others.</w:t>
      </w:r>
    </w:p>
    <w:p w14:paraId="1919D8BA" w14:textId="77777777" w:rsidR="000E24F5" w:rsidRPr="000E24F5" w:rsidRDefault="000E24F5" w:rsidP="000E24F5">
      <w:r w:rsidRPr="000E24F5">
        <w:t>Calling the company simply:</w:t>
      </w:r>
    </w:p>
    <w:p w14:paraId="0F9C1A56" w14:textId="77777777" w:rsidR="000E24F5" w:rsidRPr="000E24F5" w:rsidRDefault="000E24F5" w:rsidP="000E24F5">
      <w:r w:rsidRPr="000E24F5">
        <w:rPr>
          <w:b/>
          <w:bCs/>
        </w:rPr>
        <w:t>ISSB-aligned</w:t>
      </w:r>
    </w:p>
    <w:p w14:paraId="72AB02A5" w14:textId="77777777" w:rsidR="000E24F5" w:rsidRPr="000E24F5" w:rsidRDefault="000E24F5" w:rsidP="000E24F5">
      <w:r w:rsidRPr="000E24F5">
        <w:t>may therefore be directionally correct while being operationally incomplete.</w:t>
      </w:r>
    </w:p>
    <w:p w14:paraId="259176FE" w14:textId="77777777" w:rsidR="000E24F5" w:rsidRPr="000E24F5" w:rsidRDefault="000E24F5" w:rsidP="000E24F5">
      <w:r w:rsidRPr="000E24F5">
        <w:t>See content credentials</w:t>
      </w:r>
    </w:p>
    <w:p w14:paraId="588EBC46" w14:textId="41E2B1E6" w:rsidR="000E24F5" w:rsidRPr="000E24F5" w:rsidRDefault="000E24F5" w:rsidP="000E24F5">
      <w:r w:rsidRPr="000E24F5">
        <w:lastRenderedPageBreak/>
        <w:drawing>
          <wp:inline distT="0" distB="0" distL="0" distR="0" wp14:anchorId="138FF3C8" wp14:editId="4FC489AE">
            <wp:extent cx="5274310" cy="7911465"/>
            <wp:effectExtent l="0" t="0" r="2540" b="0"/>
            <wp:docPr id="218755248" name="圖片 8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5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9A6A3" w14:textId="77777777" w:rsidR="000E24F5" w:rsidRPr="000E24F5" w:rsidRDefault="000E24F5" w:rsidP="000E24F5">
      <w:r w:rsidRPr="000E24F5">
        <w:t>The UK path shows how global standards acquire a local regulatory state.</w:t>
      </w:r>
    </w:p>
    <w:p w14:paraId="16DAB9EC" w14:textId="77777777" w:rsidR="000E24F5" w:rsidRPr="000E24F5" w:rsidRDefault="000E24F5" w:rsidP="000E24F5">
      <w:r w:rsidRPr="000E24F5">
        <w:pict w14:anchorId="1487F229">
          <v:rect id="_x0000_i1160" style="width:486pt;height:.75pt" o:hrpct="0" o:hralign="center" o:hrstd="t" o:hr="t" fillcolor="#a0a0a0" stroked="f"/>
        </w:pict>
      </w:r>
    </w:p>
    <w:p w14:paraId="601B4C34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lastRenderedPageBreak/>
        <w:t>04 | This Is Already How the IFRS Foundation Sees Adoption</w:t>
      </w:r>
    </w:p>
    <w:p w14:paraId="12474CF2" w14:textId="77777777" w:rsidR="000E24F5" w:rsidRPr="000E24F5" w:rsidRDefault="000E24F5" w:rsidP="000E24F5">
      <w:r w:rsidRPr="000E24F5">
        <w:t>The jurisdictional problem is not an exception created by the UK.</w:t>
      </w:r>
    </w:p>
    <w:p w14:paraId="545FA286" w14:textId="77777777" w:rsidR="000E24F5" w:rsidRPr="000E24F5" w:rsidRDefault="000E24F5" w:rsidP="000E24F5">
      <w:r w:rsidRPr="000E24F5">
        <w:t>It is already visible in the architecture the IFRS Foundation uses to describe worldwide adoption.</w:t>
      </w:r>
    </w:p>
    <w:p w14:paraId="73EADAE0" w14:textId="77777777" w:rsidR="000E24F5" w:rsidRPr="000E24F5" w:rsidRDefault="000E24F5" w:rsidP="000E24F5">
      <w:r w:rsidRPr="000E24F5">
        <w:t xml:space="preserve">The Foundation publishes </w:t>
      </w:r>
      <w:r w:rsidRPr="000E24F5">
        <w:rPr>
          <w:b/>
          <w:bCs/>
        </w:rPr>
        <w:t>jurisdictional profiles</w:t>
      </w:r>
      <w:r w:rsidRPr="000E24F5">
        <w:t xml:space="preserve"> when an approach has been </w:t>
      </w:r>
      <w:proofErr w:type="spellStart"/>
      <w:r w:rsidRPr="000E24F5">
        <w:t>finalised</w:t>
      </w:r>
      <w:proofErr w:type="spellEnd"/>
      <w:r w:rsidRPr="000E24F5">
        <w:t xml:space="preserve"> and </w:t>
      </w:r>
      <w:r w:rsidRPr="000E24F5">
        <w:rPr>
          <w:b/>
          <w:bCs/>
        </w:rPr>
        <w:t>snapshots</w:t>
      </w:r>
      <w:r w:rsidRPr="000E24F5">
        <w:t xml:space="preserve"> when regulatory approaches are still developing or profiles are still being prepared. The purpose is to provide transparency about how individual jurisdictions are adopting or otherwise using ISSB Standards. </w:t>
      </w:r>
    </w:p>
    <w:p w14:paraId="13DBA84E" w14:textId="77777777" w:rsidR="000E24F5" w:rsidRPr="000E24F5" w:rsidRDefault="000E24F5" w:rsidP="000E24F5">
      <w:r w:rsidRPr="000E24F5">
        <w:t xml:space="preserve">Its Roadmap Development Tool also </w:t>
      </w:r>
      <w:proofErr w:type="spellStart"/>
      <w:r w:rsidRPr="000E24F5">
        <w:t>recognises</w:t>
      </w:r>
      <w:proofErr w:type="spellEnd"/>
      <w:r w:rsidRPr="000E24F5">
        <w:t xml:space="preserve"> several possible jurisdictional approaches, including:</w:t>
      </w:r>
    </w:p>
    <w:p w14:paraId="6CD48596" w14:textId="77777777" w:rsidR="000E24F5" w:rsidRPr="000E24F5" w:rsidRDefault="000E24F5" w:rsidP="000E24F5">
      <w:r w:rsidRPr="000E24F5">
        <w:rPr>
          <w:b/>
          <w:bCs/>
        </w:rPr>
        <w:t>full adoption</w:t>
      </w:r>
    </w:p>
    <w:p w14:paraId="3015AFBF" w14:textId="77777777" w:rsidR="000E24F5" w:rsidRPr="000E24F5" w:rsidRDefault="000E24F5" w:rsidP="000E24F5">
      <w:r w:rsidRPr="000E24F5">
        <w:rPr>
          <w:b/>
          <w:bCs/>
        </w:rPr>
        <w:t>adoption with limited transition</w:t>
      </w:r>
    </w:p>
    <w:p w14:paraId="4B040DB9" w14:textId="77777777" w:rsidR="000E24F5" w:rsidRPr="000E24F5" w:rsidRDefault="000E24F5" w:rsidP="000E24F5">
      <w:r w:rsidRPr="000E24F5">
        <w:rPr>
          <w:b/>
          <w:bCs/>
        </w:rPr>
        <w:t>adoption with extended transition</w:t>
      </w:r>
    </w:p>
    <w:p w14:paraId="758F5C27" w14:textId="77777777" w:rsidR="000E24F5" w:rsidRPr="000E24F5" w:rsidRDefault="000E24F5" w:rsidP="000E24F5">
      <w:r w:rsidRPr="000E24F5">
        <w:rPr>
          <w:b/>
          <w:bCs/>
        </w:rPr>
        <w:t>adoption of climate requirements</w:t>
      </w:r>
    </w:p>
    <w:p w14:paraId="17CF3E3B" w14:textId="77777777" w:rsidR="000E24F5" w:rsidRPr="000E24F5" w:rsidRDefault="000E24F5" w:rsidP="000E24F5">
      <w:r w:rsidRPr="000E24F5">
        <w:t xml:space="preserve">and other approaches to using ISSB Standards or functionally aligned requirements. </w:t>
      </w:r>
    </w:p>
    <w:p w14:paraId="04930CDE" w14:textId="77777777" w:rsidR="000E24F5" w:rsidRPr="000E24F5" w:rsidRDefault="000E24F5" w:rsidP="000E24F5">
      <w:r w:rsidRPr="000E24F5">
        <w:t xml:space="preserve">The IFRS Foundation also explicitly </w:t>
      </w:r>
      <w:proofErr w:type="spellStart"/>
      <w:r w:rsidRPr="000E24F5">
        <w:t>recognises</w:t>
      </w:r>
      <w:proofErr w:type="spellEnd"/>
      <w:r w:rsidRPr="000E24F5">
        <w:t xml:space="preserve"> that jurisdictional market infrastructure, regulatory arrangements and readiness can influence the pace and method of adoption. </w:t>
      </w:r>
    </w:p>
    <w:p w14:paraId="1861534D" w14:textId="77777777" w:rsidR="000E24F5" w:rsidRPr="000E24F5" w:rsidRDefault="000E24F5" w:rsidP="000E24F5">
      <w:r w:rsidRPr="000E24F5">
        <w:t>That produces an important observation:</w:t>
      </w:r>
    </w:p>
    <w:p w14:paraId="68C582B8" w14:textId="77777777" w:rsidR="000E24F5" w:rsidRPr="000E24F5" w:rsidRDefault="000E24F5" w:rsidP="000E24F5">
      <w:r w:rsidRPr="000E24F5">
        <w:rPr>
          <w:b/>
          <w:bCs/>
        </w:rPr>
        <w:t>Global alignment does not require every jurisdiction to occupy the same implementation state at the same time.</w:t>
      </w:r>
    </w:p>
    <w:p w14:paraId="7C34AD33" w14:textId="77777777" w:rsidR="000E24F5" w:rsidRPr="000E24F5" w:rsidRDefault="000E24F5" w:rsidP="000E24F5">
      <w:r w:rsidRPr="000E24F5">
        <w:t>But if implementation states differ, those differences become information that institutions need to preserve.</w:t>
      </w:r>
    </w:p>
    <w:p w14:paraId="0BE56E00" w14:textId="77777777" w:rsidR="000E24F5" w:rsidRPr="000E24F5" w:rsidRDefault="000E24F5" w:rsidP="000E24F5">
      <w:r w:rsidRPr="000E24F5">
        <w:pict w14:anchorId="3E61D2B4">
          <v:rect id="_x0000_i1161" style="width:486pt;height:.75pt" o:hrpct="0" o:hralign="center" o:hrstd="t" o:hr="t" fillcolor="#a0a0a0" stroked="f"/>
        </w:pict>
      </w:r>
    </w:p>
    <w:p w14:paraId="7BB99BD6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05 | From Standard Identity to Implementation State</w:t>
      </w:r>
    </w:p>
    <w:p w14:paraId="1A9C5688" w14:textId="77777777" w:rsidR="000E24F5" w:rsidRPr="000E24F5" w:rsidRDefault="000E24F5" w:rsidP="000E24F5">
      <w:r w:rsidRPr="000E24F5">
        <w:t>This creates a new Evidence Infrastructure problem.</w:t>
      </w:r>
    </w:p>
    <w:p w14:paraId="7AB0678F" w14:textId="77777777" w:rsidR="000E24F5" w:rsidRPr="000E24F5" w:rsidRDefault="000E24F5" w:rsidP="000E24F5">
      <w:r w:rsidRPr="000E24F5">
        <w:lastRenderedPageBreak/>
        <w:t>Suppose an evidence system knows:</w:t>
      </w:r>
    </w:p>
    <w:p w14:paraId="5C81D614" w14:textId="77777777" w:rsidR="000E24F5" w:rsidRPr="000E24F5" w:rsidRDefault="000E24F5" w:rsidP="000E24F5">
      <w:r w:rsidRPr="000E24F5">
        <w:t>Standard = IFRS S2</w:t>
      </w:r>
    </w:p>
    <w:p w14:paraId="7BFEA44A" w14:textId="77777777" w:rsidR="000E24F5" w:rsidRPr="000E24F5" w:rsidRDefault="000E24F5" w:rsidP="000E24F5">
      <w:r w:rsidRPr="000E24F5">
        <w:t>That information is useful.</w:t>
      </w:r>
    </w:p>
    <w:p w14:paraId="72F1A1B7" w14:textId="77777777" w:rsidR="000E24F5" w:rsidRPr="000E24F5" w:rsidRDefault="000E24F5" w:rsidP="000E24F5">
      <w:r w:rsidRPr="000E24F5">
        <w:t>But it may not be enough to determine what the reporting entity is required to do.</w:t>
      </w:r>
    </w:p>
    <w:p w14:paraId="3AD5ECFB" w14:textId="77777777" w:rsidR="000E24F5" w:rsidRPr="000E24F5" w:rsidRDefault="000E24F5" w:rsidP="000E24F5">
      <w:r w:rsidRPr="000E24F5">
        <w:t>The system may also need to know:</w:t>
      </w:r>
    </w:p>
    <w:p w14:paraId="3BF12AA2" w14:textId="77777777" w:rsidR="000E24F5" w:rsidRPr="000E24F5" w:rsidRDefault="000E24F5" w:rsidP="000E24F5">
      <w:r w:rsidRPr="000E24F5">
        <w:rPr>
          <w:b/>
          <w:bCs/>
        </w:rPr>
        <w:t>Jurisdiction</w:t>
      </w:r>
    </w:p>
    <w:p w14:paraId="2DFD4D56" w14:textId="77777777" w:rsidR="000E24F5" w:rsidRPr="000E24F5" w:rsidRDefault="000E24F5" w:rsidP="000E24F5">
      <w:r w:rsidRPr="000E24F5">
        <w:t>Where does the obligation arise?</w:t>
      </w:r>
    </w:p>
    <w:p w14:paraId="698CB6D4" w14:textId="77777777" w:rsidR="000E24F5" w:rsidRPr="000E24F5" w:rsidRDefault="000E24F5" w:rsidP="000E24F5">
      <w:r w:rsidRPr="000E24F5">
        <w:rPr>
          <w:b/>
          <w:bCs/>
        </w:rPr>
        <w:t>Local Standard</w:t>
      </w:r>
    </w:p>
    <w:p w14:paraId="564ED402" w14:textId="77777777" w:rsidR="000E24F5" w:rsidRPr="000E24F5" w:rsidRDefault="000E24F5" w:rsidP="000E24F5">
      <w:r w:rsidRPr="000E24F5">
        <w:t>Is the entity applying IFRS S2 directly or a locally endorsed version?</w:t>
      </w:r>
    </w:p>
    <w:p w14:paraId="29282745" w14:textId="77777777" w:rsidR="000E24F5" w:rsidRPr="000E24F5" w:rsidRDefault="000E24F5" w:rsidP="000E24F5">
      <w:r w:rsidRPr="000E24F5">
        <w:rPr>
          <w:b/>
          <w:bCs/>
        </w:rPr>
        <w:t>Entity Scope</w:t>
      </w:r>
    </w:p>
    <w:p w14:paraId="0477540B" w14:textId="77777777" w:rsidR="000E24F5" w:rsidRPr="000E24F5" w:rsidRDefault="000E24F5" w:rsidP="000E24F5">
      <w:r w:rsidRPr="000E24F5">
        <w:t>Is this entity subject to the relevant regulatory regime?</w:t>
      </w:r>
    </w:p>
    <w:p w14:paraId="70DFD288" w14:textId="77777777" w:rsidR="000E24F5" w:rsidRPr="000E24F5" w:rsidRDefault="000E24F5" w:rsidP="000E24F5">
      <w:r w:rsidRPr="000E24F5">
        <w:rPr>
          <w:b/>
          <w:bCs/>
        </w:rPr>
        <w:t>Reporting Period</w:t>
      </w:r>
    </w:p>
    <w:p w14:paraId="559C8F82" w14:textId="77777777" w:rsidR="000E24F5" w:rsidRPr="000E24F5" w:rsidRDefault="000E24F5" w:rsidP="000E24F5">
      <w:r w:rsidRPr="000E24F5">
        <w:t>Has the obligation taken effect?</w:t>
      </w:r>
    </w:p>
    <w:p w14:paraId="723A61D7" w14:textId="77777777" w:rsidR="000E24F5" w:rsidRPr="000E24F5" w:rsidRDefault="000E24F5" w:rsidP="000E24F5">
      <w:r w:rsidRPr="000E24F5">
        <w:rPr>
          <w:b/>
          <w:bCs/>
        </w:rPr>
        <w:t>Transition State</w:t>
      </w:r>
    </w:p>
    <w:p w14:paraId="44C8595C" w14:textId="77777777" w:rsidR="000E24F5" w:rsidRPr="000E24F5" w:rsidRDefault="000E24F5" w:rsidP="000E24F5">
      <w:r w:rsidRPr="000E24F5">
        <w:t>Is a temporary relief still available?</w:t>
      </w:r>
    </w:p>
    <w:p w14:paraId="5518F9C2" w14:textId="77777777" w:rsidR="000E24F5" w:rsidRPr="000E24F5" w:rsidRDefault="000E24F5" w:rsidP="000E24F5">
      <w:r w:rsidRPr="000E24F5">
        <w:rPr>
          <w:b/>
          <w:bCs/>
        </w:rPr>
        <w:t>Obligation State</w:t>
      </w:r>
    </w:p>
    <w:p w14:paraId="3A32716D" w14:textId="77777777" w:rsidR="000E24F5" w:rsidRPr="000E24F5" w:rsidRDefault="000E24F5" w:rsidP="000E24F5">
      <w:r w:rsidRPr="000E24F5">
        <w:t>Mandatory?</w:t>
      </w:r>
    </w:p>
    <w:p w14:paraId="3C36364B" w14:textId="77777777" w:rsidR="000E24F5" w:rsidRPr="000E24F5" w:rsidRDefault="000E24F5" w:rsidP="000E24F5">
      <w:r w:rsidRPr="000E24F5">
        <w:t>Comply or explain?</w:t>
      </w:r>
    </w:p>
    <w:p w14:paraId="06CDB0F8" w14:textId="77777777" w:rsidR="000E24F5" w:rsidRPr="000E24F5" w:rsidRDefault="000E24F5" w:rsidP="000E24F5">
      <w:r w:rsidRPr="000E24F5">
        <w:t>Permitted?</w:t>
      </w:r>
    </w:p>
    <w:p w14:paraId="1C0AC5C8" w14:textId="77777777" w:rsidR="000E24F5" w:rsidRPr="000E24F5" w:rsidRDefault="000E24F5" w:rsidP="000E24F5">
      <w:r w:rsidRPr="000E24F5">
        <w:t>Not yet effective?</w:t>
      </w:r>
    </w:p>
    <w:p w14:paraId="64523929" w14:textId="77777777" w:rsidR="000E24F5" w:rsidRPr="000E24F5" w:rsidRDefault="000E24F5" w:rsidP="000E24F5">
      <w:r w:rsidRPr="000E24F5">
        <w:rPr>
          <w:b/>
          <w:bCs/>
        </w:rPr>
        <w:t>Explanation State</w:t>
      </w:r>
    </w:p>
    <w:p w14:paraId="4167B9E1" w14:textId="77777777" w:rsidR="000E24F5" w:rsidRPr="000E24F5" w:rsidRDefault="000E24F5" w:rsidP="000E24F5">
      <w:r w:rsidRPr="000E24F5">
        <w:t>If a requirement is not met, what explanation is required?</w:t>
      </w:r>
    </w:p>
    <w:p w14:paraId="4352BA5D" w14:textId="77777777" w:rsidR="000E24F5" w:rsidRPr="000E24F5" w:rsidRDefault="000E24F5" w:rsidP="000E24F5">
      <w:r w:rsidRPr="000E24F5">
        <w:t>This publication describes that combined condition as:</w:t>
      </w:r>
    </w:p>
    <w:p w14:paraId="57C46284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Jurisdictional Implementation State</w:t>
      </w:r>
    </w:p>
    <w:p w14:paraId="24044EE7" w14:textId="77777777" w:rsidR="000E24F5" w:rsidRPr="000E24F5" w:rsidRDefault="000E24F5" w:rsidP="000E24F5">
      <w:r w:rsidRPr="000E24F5">
        <w:rPr>
          <w:b/>
          <w:bCs/>
        </w:rPr>
        <w:lastRenderedPageBreak/>
        <w:t>The regulatory state that determines how a common sustainability standard applies to a particular entity, in a particular jurisdiction, at a particular point in time.</w:t>
      </w:r>
    </w:p>
    <w:p w14:paraId="5453AB70" w14:textId="77777777" w:rsidR="000E24F5" w:rsidRPr="000E24F5" w:rsidRDefault="000E24F5" w:rsidP="000E24F5">
      <w:r w:rsidRPr="000E24F5">
        <w:t>The standard identifies the reporting architecture.</w:t>
      </w:r>
    </w:p>
    <w:p w14:paraId="28E4D862" w14:textId="77777777" w:rsidR="000E24F5" w:rsidRPr="000E24F5" w:rsidRDefault="000E24F5" w:rsidP="000E24F5">
      <w:r w:rsidRPr="000E24F5">
        <w:t>The implementation state identifies how that architecture currently applies.</w:t>
      </w:r>
    </w:p>
    <w:p w14:paraId="6E4DE245" w14:textId="77777777" w:rsidR="000E24F5" w:rsidRPr="000E24F5" w:rsidRDefault="000E24F5" w:rsidP="000E24F5">
      <w:r w:rsidRPr="000E24F5">
        <w:pict w14:anchorId="49DD2BFE">
          <v:rect id="_x0000_i1162" style="width:486pt;height:.75pt" o:hrpct="0" o:hralign="center" o:hrstd="t" o:hr="t" fillcolor="#a0a0a0" stroked="f"/>
        </w:pict>
      </w:r>
    </w:p>
    <w:p w14:paraId="3CEE5386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06 | Why This Matters to Evidence</w:t>
      </w:r>
    </w:p>
    <w:p w14:paraId="1E07093C" w14:textId="77777777" w:rsidR="000E24F5" w:rsidRPr="000E24F5" w:rsidRDefault="000E24F5" w:rsidP="000E24F5">
      <w:r w:rsidRPr="000E24F5">
        <w:t>A jurisdictional implementation state is not only a legal metadata problem.</w:t>
      </w:r>
    </w:p>
    <w:p w14:paraId="0EF9F633" w14:textId="77777777" w:rsidR="000E24F5" w:rsidRPr="000E24F5" w:rsidRDefault="000E24F5" w:rsidP="000E24F5">
      <w:r w:rsidRPr="000E24F5">
        <w:t>It changes how evidence is interpreted.</w:t>
      </w:r>
    </w:p>
    <w:p w14:paraId="2666CD3C" w14:textId="77777777" w:rsidR="000E24F5" w:rsidRPr="000E24F5" w:rsidRDefault="000E24F5" w:rsidP="000E24F5">
      <w:r w:rsidRPr="000E24F5">
        <w:t>Consider Scope 3.</w:t>
      </w:r>
    </w:p>
    <w:p w14:paraId="50DC2DF2" w14:textId="77777777" w:rsidR="000E24F5" w:rsidRPr="000E24F5" w:rsidRDefault="000E24F5" w:rsidP="000E24F5">
      <w:r w:rsidRPr="000E24F5">
        <w:t xml:space="preserve">An </w:t>
      </w:r>
      <w:proofErr w:type="spellStart"/>
      <w:r w:rsidRPr="000E24F5">
        <w:t>organisation</w:t>
      </w:r>
      <w:proofErr w:type="spellEnd"/>
      <w:r w:rsidRPr="000E24F5">
        <w:t xml:space="preserve"> may have evidence relevant to Scope 3 emissions.</w:t>
      </w:r>
    </w:p>
    <w:p w14:paraId="29DB6AC4" w14:textId="77777777" w:rsidR="000E24F5" w:rsidRPr="000E24F5" w:rsidRDefault="000E24F5" w:rsidP="000E24F5">
      <w:r w:rsidRPr="000E24F5">
        <w:t>But the institutional meaning of that evidence differs depending on whether the entity is:</w:t>
      </w:r>
    </w:p>
    <w:p w14:paraId="619BB07A" w14:textId="77777777" w:rsidR="000E24F5" w:rsidRPr="000E24F5" w:rsidRDefault="000E24F5" w:rsidP="000E24F5">
      <w:r w:rsidRPr="000E24F5">
        <w:t>already required to disclose,</w:t>
      </w:r>
    </w:p>
    <w:p w14:paraId="2CCE18E8" w14:textId="77777777" w:rsidR="000E24F5" w:rsidRPr="000E24F5" w:rsidRDefault="000E24F5" w:rsidP="000E24F5">
      <w:r w:rsidRPr="000E24F5">
        <w:t>inside a transition period,</w:t>
      </w:r>
    </w:p>
    <w:p w14:paraId="799E34ED" w14:textId="77777777" w:rsidR="000E24F5" w:rsidRPr="000E24F5" w:rsidRDefault="000E24F5" w:rsidP="000E24F5">
      <w:r w:rsidRPr="000E24F5">
        <w:t>using an available relief,</w:t>
      </w:r>
    </w:p>
    <w:p w14:paraId="45614E3A" w14:textId="77777777" w:rsidR="000E24F5" w:rsidRPr="000E24F5" w:rsidRDefault="000E24F5" w:rsidP="000E24F5">
      <w:r w:rsidRPr="000E24F5">
        <w:t>voluntarily reporting early,</w:t>
      </w:r>
    </w:p>
    <w:p w14:paraId="4102D0BA" w14:textId="77777777" w:rsidR="000E24F5" w:rsidRPr="000E24F5" w:rsidRDefault="000E24F5" w:rsidP="000E24F5">
      <w:r w:rsidRPr="000E24F5">
        <w:t>or explaining why disclosure has not yet been completed.</w:t>
      </w:r>
    </w:p>
    <w:p w14:paraId="240E3841" w14:textId="77777777" w:rsidR="000E24F5" w:rsidRPr="000E24F5" w:rsidRDefault="000E24F5" w:rsidP="000E24F5">
      <w:r w:rsidRPr="000E24F5">
        <w:t>The underlying emissions evidence may be identical.</w:t>
      </w:r>
    </w:p>
    <w:p w14:paraId="5090D06E" w14:textId="77777777" w:rsidR="000E24F5" w:rsidRPr="000E24F5" w:rsidRDefault="000E24F5" w:rsidP="000E24F5">
      <w:r w:rsidRPr="000E24F5">
        <w:t>The reporting state is not.</w:t>
      </w:r>
    </w:p>
    <w:p w14:paraId="5E98FC5A" w14:textId="77777777" w:rsidR="000E24F5" w:rsidRPr="000E24F5" w:rsidRDefault="000E24F5" w:rsidP="000E24F5">
      <w:r w:rsidRPr="000E24F5">
        <w:t>This means a reusable evidence architecture must preserve a distinction between:</w:t>
      </w:r>
    </w:p>
    <w:p w14:paraId="2E15F438" w14:textId="77777777" w:rsidR="000E24F5" w:rsidRPr="000E24F5" w:rsidRDefault="000E24F5" w:rsidP="000E24F5">
      <w:r w:rsidRPr="000E24F5">
        <w:rPr>
          <w:b/>
          <w:bCs/>
        </w:rPr>
        <w:t>what the evidence supports</w:t>
      </w:r>
    </w:p>
    <w:p w14:paraId="1B46D4EC" w14:textId="77777777" w:rsidR="000E24F5" w:rsidRPr="000E24F5" w:rsidRDefault="000E24F5" w:rsidP="000E24F5">
      <w:r w:rsidRPr="000E24F5">
        <w:t>and</w:t>
      </w:r>
    </w:p>
    <w:p w14:paraId="07632DA4" w14:textId="77777777" w:rsidR="000E24F5" w:rsidRPr="000E24F5" w:rsidRDefault="000E24F5" w:rsidP="000E24F5">
      <w:r w:rsidRPr="000E24F5">
        <w:rPr>
          <w:b/>
          <w:bCs/>
        </w:rPr>
        <w:t>what the jurisdiction currently requires the entity to do with it.</w:t>
      </w:r>
    </w:p>
    <w:p w14:paraId="02DAA022" w14:textId="77777777" w:rsidR="000E24F5" w:rsidRPr="000E24F5" w:rsidRDefault="000E24F5" w:rsidP="000E24F5">
      <w:r w:rsidRPr="000E24F5">
        <w:lastRenderedPageBreak/>
        <w:t xml:space="preserve">That is the same principle we have repeatedly encountered </w:t>
      </w:r>
      <w:proofErr w:type="gramStart"/>
      <w:r w:rsidRPr="000E24F5">
        <w:t>across</w:t>
      </w:r>
      <w:proofErr w:type="gramEnd"/>
      <w:r w:rsidRPr="000E24F5">
        <w:t xml:space="preserve"> Evidence Infrastructure:</w:t>
      </w:r>
    </w:p>
    <w:p w14:paraId="183DEAA2" w14:textId="77777777" w:rsidR="000E24F5" w:rsidRPr="000E24F5" w:rsidRDefault="000E24F5" w:rsidP="000E24F5">
      <w:r w:rsidRPr="000E24F5">
        <w:rPr>
          <w:b/>
          <w:bCs/>
        </w:rPr>
        <w:t>Reuse the evidence. Re-perform the institutional judgement.</w:t>
      </w:r>
    </w:p>
    <w:p w14:paraId="1A5EF7C3" w14:textId="77777777" w:rsidR="000E24F5" w:rsidRPr="000E24F5" w:rsidRDefault="000E24F5" w:rsidP="000E24F5">
      <w:r w:rsidRPr="000E24F5">
        <w:t>Jurisdiction is another governance layer in that judgement.</w:t>
      </w:r>
    </w:p>
    <w:p w14:paraId="4853B314" w14:textId="77777777" w:rsidR="000E24F5" w:rsidRPr="000E24F5" w:rsidRDefault="000E24F5" w:rsidP="000E24F5">
      <w:r w:rsidRPr="000E24F5">
        <w:t>See content credentials</w:t>
      </w:r>
    </w:p>
    <w:p w14:paraId="4E09EBCB" w14:textId="34D6E761" w:rsidR="000E24F5" w:rsidRPr="000E24F5" w:rsidRDefault="000E24F5" w:rsidP="000E24F5">
      <w:r w:rsidRPr="000E24F5">
        <w:lastRenderedPageBreak/>
        <w:drawing>
          <wp:inline distT="0" distB="0" distL="0" distR="0" wp14:anchorId="44ED78A1" wp14:editId="177D168D">
            <wp:extent cx="5274310" cy="7911465"/>
            <wp:effectExtent l="0" t="0" r="2540" b="0"/>
            <wp:docPr id="1029141691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51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7A94E" w14:textId="77777777" w:rsidR="000E24F5" w:rsidRPr="000E24F5" w:rsidRDefault="000E24F5" w:rsidP="000E24F5">
      <w:r w:rsidRPr="000E24F5">
        <w:t>Disclosure obligations depend on jurisdiction, timing, scope and relief.</w:t>
      </w:r>
    </w:p>
    <w:p w14:paraId="5416F804" w14:textId="77777777" w:rsidR="000E24F5" w:rsidRPr="000E24F5" w:rsidRDefault="000E24F5" w:rsidP="000E24F5">
      <w:r w:rsidRPr="000E24F5">
        <w:pict w14:anchorId="65398BA8">
          <v:rect id="_x0000_i1164" style="width:486pt;height:.75pt" o:hrpct="0" o:hralign="center" o:hrstd="t" o:hr="t" fillcolor="#a0a0a0" stroked="f"/>
        </w:pict>
      </w:r>
    </w:p>
    <w:p w14:paraId="103593D6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lastRenderedPageBreak/>
        <w:t>07 | A Global Baseline Creates a Version of Regulatory Interoperability</w:t>
      </w:r>
    </w:p>
    <w:p w14:paraId="72753F2C" w14:textId="77777777" w:rsidR="000E24F5" w:rsidRPr="000E24F5" w:rsidRDefault="000E24F5" w:rsidP="000E24F5">
      <w:r w:rsidRPr="000E24F5">
        <w:t>Interoperability is often discussed as the ability to move information between standards.</w:t>
      </w:r>
    </w:p>
    <w:p w14:paraId="1705714D" w14:textId="77777777" w:rsidR="000E24F5" w:rsidRPr="000E24F5" w:rsidRDefault="000E24F5" w:rsidP="000E24F5">
      <w:r w:rsidRPr="000E24F5">
        <w:t>But once global standards enter multiple legal systems, another form becomes important:</w:t>
      </w:r>
    </w:p>
    <w:p w14:paraId="46D84341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Regulatory Implementation Interoperability</w:t>
      </w:r>
    </w:p>
    <w:p w14:paraId="7198FBDD" w14:textId="77777777" w:rsidR="000E24F5" w:rsidRPr="000E24F5" w:rsidRDefault="000E24F5" w:rsidP="000E24F5">
      <w:r w:rsidRPr="000E24F5">
        <w:t>A multinational company may operate across jurisdictions that all describe themselves as aligned with the ISSB global baseline.</w:t>
      </w:r>
    </w:p>
    <w:p w14:paraId="150332AB" w14:textId="77777777" w:rsidR="000E24F5" w:rsidRPr="000E24F5" w:rsidRDefault="000E24F5" w:rsidP="000E24F5">
      <w:r w:rsidRPr="000E24F5">
        <w:t>Yet their actual implementation conditions may differ.</w:t>
      </w:r>
    </w:p>
    <w:p w14:paraId="36BB7475" w14:textId="77777777" w:rsidR="000E24F5" w:rsidRPr="000E24F5" w:rsidRDefault="000E24F5" w:rsidP="000E24F5">
      <w:r w:rsidRPr="000E24F5">
        <w:t>Different effective dates.</w:t>
      </w:r>
    </w:p>
    <w:p w14:paraId="506F7808" w14:textId="77777777" w:rsidR="000E24F5" w:rsidRPr="000E24F5" w:rsidRDefault="000E24F5" w:rsidP="000E24F5">
      <w:r w:rsidRPr="000E24F5">
        <w:t>Different scope thresholds.</w:t>
      </w:r>
    </w:p>
    <w:p w14:paraId="5F5CA857" w14:textId="77777777" w:rsidR="000E24F5" w:rsidRPr="000E24F5" w:rsidRDefault="000E24F5" w:rsidP="000E24F5">
      <w:r w:rsidRPr="000E24F5">
        <w:t>Different transition periods.</w:t>
      </w:r>
    </w:p>
    <w:p w14:paraId="00B2FEDB" w14:textId="77777777" w:rsidR="000E24F5" w:rsidRPr="000E24F5" w:rsidRDefault="000E24F5" w:rsidP="000E24F5">
      <w:r w:rsidRPr="000E24F5">
        <w:t>Different local modifications.</w:t>
      </w:r>
    </w:p>
    <w:p w14:paraId="6DE7C497" w14:textId="77777777" w:rsidR="000E24F5" w:rsidRPr="000E24F5" w:rsidRDefault="000E24F5" w:rsidP="000E24F5">
      <w:r w:rsidRPr="000E24F5">
        <w:t>Different supervisory expectations.</w:t>
      </w:r>
    </w:p>
    <w:p w14:paraId="6F6DB510" w14:textId="77777777" w:rsidR="000E24F5" w:rsidRPr="000E24F5" w:rsidRDefault="000E24F5" w:rsidP="000E24F5">
      <w:r w:rsidRPr="000E24F5">
        <w:t>Different explanation requirements.</w:t>
      </w:r>
    </w:p>
    <w:p w14:paraId="5EC814E1" w14:textId="77777777" w:rsidR="000E24F5" w:rsidRPr="000E24F5" w:rsidRDefault="000E24F5" w:rsidP="000E24F5">
      <w:r w:rsidRPr="000E24F5">
        <w:t>For the company, the problem is no longer:</w:t>
      </w:r>
    </w:p>
    <w:p w14:paraId="3CD5F57F" w14:textId="77777777" w:rsidR="000E24F5" w:rsidRPr="000E24F5" w:rsidRDefault="000E24F5" w:rsidP="000E24F5">
      <w:r w:rsidRPr="000E24F5">
        <w:rPr>
          <w:b/>
          <w:bCs/>
        </w:rPr>
        <w:t>Which sustainability standard do we use?</w:t>
      </w:r>
    </w:p>
    <w:p w14:paraId="7737E957" w14:textId="77777777" w:rsidR="000E24F5" w:rsidRPr="000E24F5" w:rsidRDefault="000E24F5" w:rsidP="000E24F5">
      <w:r w:rsidRPr="000E24F5">
        <w:t>It may become:</w:t>
      </w:r>
    </w:p>
    <w:p w14:paraId="36FFB780" w14:textId="77777777" w:rsidR="000E24F5" w:rsidRPr="000E24F5" w:rsidRDefault="000E24F5" w:rsidP="000E24F5">
      <w:r w:rsidRPr="000E24F5">
        <w:rPr>
          <w:b/>
          <w:bCs/>
        </w:rPr>
        <w:t>Which implementation state applies to this evidence, this entity and this reporting period?</w:t>
      </w:r>
    </w:p>
    <w:p w14:paraId="0B2F7DF3" w14:textId="77777777" w:rsidR="000E24F5" w:rsidRPr="000E24F5" w:rsidRDefault="000E24F5" w:rsidP="000E24F5">
      <w:r w:rsidRPr="000E24F5">
        <w:t>This is particularly important for multinational groups where a canonical evidence object may be reusable across several reporting entities.</w:t>
      </w:r>
    </w:p>
    <w:p w14:paraId="37FF7B97" w14:textId="77777777" w:rsidR="000E24F5" w:rsidRPr="000E24F5" w:rsidRDefault="000E24F5" w:rsidP="000E24F5">
      <w:r w:rsidRPr="000E24F5">
        <w:t>The evidence can remain common.</w:t>
      </w:r>
    </w:p>
    <w:p w14:paraId="5F351F0E" w14:textId="77777777" w:rsidR="000E24F5" w:rsidRPr="000E24F5" w:rsidRDefault="000E24F5" w:rsidP="000E24F5">
      <w:r w:rsidRPr="000E24F5">
        <w:t>The legal state surrounding its use may not.</w:t>
      </w:r>
    </w:p>
    <w:p w14:paraId="13F535B4" w14:textId="77777777" w:rsidR="000E24F5" w:rsidRPr="000E24F5" w:rsidRDefault="000E24F5" w:rsidP="000E24F5">
      <w:r w:rsidRPr="000E24F5">
        <w:pict w14:anchorId="6BAF9DB2">
          <v:rect id="_x0000_i1165" style="width:486pt;height:.75pt" o:hrpct="0" o:hralign="center" o:hrstd="t" o:hr="t" fillcolor="#a0a0a0" stroked="f"/>
        </w:pict>
      </w:r>
    </w:p>
    <w:p w14:paraId="4119F728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lastRenderedPageBreak/>
        <w:t>08 | Comply or Explain Makes State Explicit</w:t>
      </w:r>
    </w:p>
    <w:p w14:paraId="1C2B9F49" w14:textId="77777777" w:rsidR="000E24F5" w:rsidRPr="000E24F5" w:rsidRDefault="000E24F5" w:rsidP="000E24F5">
      <w:r w:rsidRPr="000E24F5">
        <w:t>The UK's final FCA model makes this particularly visible.</w:t>
      </w:r>
    </w:p>
    <w:p w14:paraId="508A809F" w14:textId="77777777" w:rsidR="000E24F5" w:rsidRPr="000E24F5" w:rsidRDefault="000E24F5" w:rsidP="000E24F5">
      <w:proofErr w:type="gramStart"/>
      <w:r w:rsidRPr="000E24F5">
        <w:t>Comply</w:t>
      </w:r>
      <w:proofErr w:type="gramEnd"/>
      <w:r w:rsidRPr="000E24F5">
        <w:t xml:space="preserve"> or </w:t>
      </w:r>
      <w:proofErr w:type="gramStart"/>
      <w:r w:rsidRPr="000E24F5">
        <w:t>explain</w:t>
      </w:r>
      <w:proofErr w:type="gramEnd"/>
      <w:r w:rsidRPr="000E24F5">
        <w:t xml:space="preserve"> is not simply a weaker version of mandatory reporting.</w:t>
      </w:r>
    </w:p>
    <w:p w14:paraId="6C752A14" w14:textId="77777777" w:rsidR="000E24F5" w:rsidRPr="000E24F5" w:rsidRDefault="000E24F5" w:rsidP="000E24F5">
      <w:r w:rsidRPr="000E24F5">
        <w:t>It creates two legitimate regulatory states.</w:t>
      </w:r>
    </w:p>
    <w:p w14:paraId="65DC24B2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COMPLY</w:t>
      </w:r>
    </w:p>
    <w:p w14:paraId="49789C00" w14:textId="77777777" w:rsidR="000E24F5" w:rsidRPr="000E24F5" w:rsidRDefault="000E24F5" w:rsidP="000E24F5">
      <w:r w:rsidRPr="000E24F5">
        <w:t>The issuer makes the required disclosure.</w:t>
      </w:r>
    </w:p>
    <w:p w14:paraId="330595F3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EXPLAIN</w:t>
      </w:r>
    </w:p>
    <w:p w14:paraId="78565EF8" w14:textId="77777777" w:rsidR="000E24F5" w:rsidRPr="000E24F5" w:rsidRDefault="000E24F5" w:rsidP="000E24F5">
      <w:r w:rsidRPr="000E24F5">
        <w:t xml:space="preserve">The issuer identifies what has not been disclosed, explains why, and where relevant provides information about steps toward future disclosure. </w:t>
      </w:r>
      <w:hyperlink r:id="rId10" w:tgtFrame="_self" w:history="1">
        <w:r w:rsidRPr="000E24F5">
          <w:rPr>
            <w:rStyle w:val="ae"/>
            <w:b/>
            <w:bCs/>
          </w:rPr>
          <w:t>FCA</w:t>
        </w:r>
      </w:hyperlink>
    </w:p>
    <w:p w14:paraId="24864C2D" w14:textId="77777777" w:rsidR="000E24F5" w:rsidRPr="000E24F5" w:rsidRDefault="000E24F5" w:rsidP="000E24F5">
      <w:r w:rsidRPr="000E24F5">
        <w:t>Both states are governed.</w:t>
      </w:r>
    </w:p>
    <w:p w14:paraId="4F252C65" w14:textId="77777777" w:rsidR="000E24F5" w:rsidRPr="000E24F5" w:rsidRDefault="000E24F5" w:rsidP="000E24F5">
      <w:r w:rsidRPr="000E24F5">
        <w:t>Both carry information.</w:t>
      </w:r>
    </w:p>
    <w:p w14:paraId="6024F48F" w14:textId="77777777" w:rsidR="000E24F5" w:rsidRPr="000E24F5" w:rsidRDefault="000E24F5" w:rsidP="000E24F5">
      <w:r w:rsidRPr="000E24F5">
        <w:t>The absence of a disclosure therefore does not automatically mean absence of compliance with the rule.</w:t>
      </w:r>
    </w:p>
    <w:p w14:paraId="04C6F1F0" w14:textId="77777777" w:rsidR="000E24F5" w:rsidRPr="000E24F5" w:rsidRDefault="000E24F5" w:rsidP="000E24F5">
      <w:r w:rsidRPr="000E24F5">
        <w:t>This creates an important evidence distinction.</w:t>
      </w:r>
    </w:p>
    <w:p w14:paraId="5F3C2B73" w14:textId="77777777" w:rsidR="000E24F5" w:rsidRPr="000E24F5" w:rsidRDefault="000E24F5" w:rsidP="000E24F5">
      <w:r w:rsidRPr="000E24F5">
        <w:t>A machine-readable system that sees:</w:t>
      </w:r>
    </w:p>
    <w:p w14:paraId="225BBB83" w14:textId="77777777" w:rsidR="000E24F5" w:rsidRPr="000E24F5" w:rsidRDefault="000E24F5" w:rsidP="000E24F5">
      <w:r w:rsidRPr="000E24F5">
        <w:t>Scope 3 disclosure = absent</w:t>
      </w:r>
    </w:p>
    <w:p w14:paraId="3435572C" w14:textId="77777777" w:rsidR="000E24F5" w:rsidRPr="000E24F5" w:rsidRDefault="000E24F5" w:rsidP="000E24F5">
      <w:r w:rsidRPr="000E24F5">
        <w:t>cannot safely infer:</w:t>
      </w:r>
    </w:p>
    <w:p w14:paraId="7D5E10DE" w14:textId="77777777" w:rsidR="000E24F5" w:rsidRPr="000E24F5" w:rsidRDefault="000E24F5" w:rsidP="000E24F5">
      <w:r w:rsidRPr="000E24F5">
        <w:t>non-compliant</w:t>
      </w:r>
    </w:p>
    <w:p w14:paraId="1CBA0558" w14:textId="77777777" w:rsidR="000E24F5" w:rsidRPr="000E24F5" w:rsidRDefault="000E24F5" w:rsidP="000E24F5">
      <w:r w:rsidRPr="000E24F5">
        <w:t>without also knowing:</w:t>
      </w:r>
    </w:p>
    <w:p w14:paraId="276BBBA4" w14:textId="77777777" w:rsidR="000E24F5" w:rsidRPr="000E24F5" w:rsidRDefault="000E24F5" w:rsidP="000E24F5">
      <w:r w:rsidRPr="000E24F5">
        <w:t>jurisdiction,</w:t>
      </w:r>
    </w:p>
    <w:p w14:paraId="6B0A3EAB" w14:textId="77777777" w:rsidR="000E24F5" w:rsidRPr="000E24F5" w:rsidRDefault="000E24F5" w:rsidP="000E24F5">
      <w:r w:rsidRPr="000E24F5">
        <w:t>reporting period,</w:t>
      </w:r>
    </w:p>
    <w:p w14:paraId="031319E4" w14:textId="77777777" w:rsidR="000E24F5" w:rsidRPr="000E24F5" w:rsidRDefault="000E24F5" w:rsidP="000E24F5">
      <w:r w:rsidRPr="000E24F5">
        <w:t>transition status,</w:t>
      </w:r>
    </w:p>
    <w:p w14:paraId="0ED4E55F" w14:textId="77777777" w:rsidR="000E24F5" w:rsidRPr="000E24F5" w:rsidRDefault="000E24F5" w:rsidP="000E24F5">
      <w:r w:rsidRPr="000E24F5">
        <w:t>obligation state,</w:t>
      </w:r>
    </w:p>
    <w:p w14:paraId="18702111" w14:textId="77777777" w:rsidR="000E24F5" w:rsidRPr="000E24F5" w:rsidRDefault="000E24F5" w:rsidP="000E24F5">
      <w:r w:rsidRPr="000E24F5">
        <w:t>and explanation.</w:t>
      </w:r>
    </w:p>
    <w:p w14:paraId="20B15275" w14:textId="77777777" w:rsidR="000E24F5" w:rsidRPr="000E24F5" w:rsidRDefault="000E24F5" w:rsidP="000E24F5">
      <w:r w:rsidRPr="000E24F5">
        <w:t>This is precisely why implementation-state evidence matters.</w:t>
      </w:r>
    </w:p>
    <w:p w14:paraId="4DB51EB5" w14:textId="77777777" w:rsidR="000E24F5" w:rsidRPr="000E24F5" w:rsidRDefault="000E24F5" w:rsidP="000E24F5">
      <w:r w:rsidRPr="000E24F5">
        <w:lastRenderedPageBreak/>
        <w:pict w14:anchorId="4B41A48F">
          <v:rect id="_x0000_i1166" style="width:486pt;height:.75pt" o:hrpct="0" o:hralign="center" o:hrstd="t" o:hr="t" fillcolor="#a0a0a0" stroked="f"/>
        </w:pict>
      </w:r>
    </w:p>
    <w:p w14:paraId="3867D52E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09 | Global Comparability Depends on Visible Difference</w:t>
      </w:r>
    </w:p>
    <w:p w14:paraId="026A0DDF" w14:textId="77777777" w:rsidR="000E24F5" w:rsidRPr="000E24F5" w:rsidRDefault="000E24F5" w:rsidP="000E24F5">
      <w:r w:rsidRPr="000E24F5">
        <w:t>At first glance, jurisdictional variation can look like a threat to comparability.</w:t>
      </w:r>
    </w:p>
    <w:p w14:paraId="39A2D46B" w14:textId="77777777" w:rsidR="000E24F5" w:rsidRPr="000E24F5" w:rsidRDefault="000E24F5" w:rsidP="000E24F5">
      <w:r w:rsidRPr="000E24F5">
        <w:t>Sometimes it can be.</w:t>
      </w:r>
    </w:p>
    <w:p w14:paraId="36BBCD63" w14:textId="77777777" w:rsidR="000E24F5" w:rsidRPr="000E24F5" w:rsidRDefault="000E24F5" w:rsidP="000E24F5">
      <w:r w:rsidRPr="000E24F5">
        <w:t>But hiding variation creates a different problem.</w:t>
      </w:r>
    </w:p>
    <w:p w14:paraId="5DC32881" w14:textId="77777777" w:rsidR="000E24F5" w:rsidRPr="000E24F5" w:rsidRDefault="000E24F5" w:rsidP="000E24F5">
      <w:r w:rsidRPr="000E24F5">
        <w:t>If two companies both state that they use an ISSB-aligned framework while operating under different local obligations, treating them as institutionally identical may produce false comparability.</w:t>
      </w:r>
    </w:p>
    <w:p w14:paraId="22F5B907" w14:textId="77777777" w:rsidR="000E24F5" w:rsidRPr="000E24F5" w:rsidRDefault="000E24F5" w:rsidP="000E24F5">
      <w:r w:rsidRPr="000E24F5">
        <w:t>True comparability therefore requires two things simultaneously:</w:t>
      </w:r>
    </w:p>
    <w:p w14:paraId="47C8050E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Common Baseline</w:t>
      </w:r>
    </w:p>
    <w:p w14:paraId="5F76B6D0" w14:textId="77777777" w:rsidR="000E24F5" w:rsidRPr="000E24F5" w:rsidRDefault="000E24F5" w:rsidP="000E24F5">
      <w:r w:rsidRPr="000E24F5">
        <w:t xml:space="preserve">The underlying disclosure architecture remains </w:t>
      </w:r>
      <w:proofErr w:type="spellStart"/>
      <w:r w:rsidRPr="000E24F5">
        <w:t>recognisable</w:t>
      </w:r>
      <w:proofErr w:type="spellEnd"/>
      <w:r w:rsidRPr="000E24F5">
        <w:t>.</w:t>
      </w:r>
    </w:p>
    <w:p w14:paraId="68502366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Visible Implementation State</w:t>
      </w:r>
    </w:p>
    <w:p w14:paraId="656AF816" w14:textId="77777777" w:rsidR="000E24F5" w:rsidRPr="000E24F5" w:rsidRDefault="000E24F5" w:rsidP="000E24F5">
      <w:r w:rsidRPr="000E24F5">
        <w:t>Differences in scope, timing, relief and obligation remain explicit.</w:t>
      </w:r>
    </w:p>
    <w:p w14:paraId="53BC63BE" w14:textId="77777777" w:rsidR="000E24F5" w:rsidRPr="000E24F5" w:rsidRDefault="000E24F5" w:rsidP="000E24F5">
      <w:r w:rsidRPr="000E24F5">
        <w:t xml:space="preserve">This creates a </w:t>
      </w:r>
      <w:proofErr w:type="gramStart"/>
      <w:r w:rsidRPr="000E24F5">
        <w:t>counterintuitive</w:t>
      </w:r>
      <w:proofErr w:type="gramEnd"/>
      <w:r w:rsidRPr="000E24F5">
        <w:t xml:space="preserve"> principle:</w:t>
      </w:r>
    </w:p>
    <w:p w14:paraId="7D4B649C" w14:textId="77777777" w:rsidR="000E24F5" w:rsidRPr="000E24F5" w:rsidRDefault="000E24F5" w:rsidP="000E24F5">
      <w:r w:rsidRPr="000E24F5">
        <w:rPr>
          <w:b/>
          <w:bCs/>
        </w:rPr>
        <w:t>Global comparability does not require jurisdictional differences to disappear. It requires those differences to remain legible.</w:t>
      </w:r>
    </w:p>
    <w:p w14:paraId="505FA6C9" w14:textId="77777777" w:rsidR="000E24F5" w:rsidRPr="000E24F5" w:rsidRDefault="000E24F5" w:rsidP="000E24F5">
      <w:r w:rsidRPr="000E24F5">
        <w:t>That is a much more realistic form of interoperability.</w:t>
      </w:r>
    </w:p>
    <w:p w14:paraId="008E5F70" w14:textId="77777777" w:rsidR="000E24F5" w:rsidRPr="000E24F5" w:rsidRDefault="000E24F5" w:rsidP="000E24F5">
      <w:r w:rsidRPr="000E24F5">
        <w:pict w14:anchorId="3052D532">
          <v:rect id="_x0000_i1167" style="width:486pt;height:.75pt" o:hrpct="0" o:hralign="center" o:hrstd="t" o:hr="t" fillcolor="#a0a0a0" stroked="f"/>
        </w:pict>
      </w:r>
    </w:p>
    <w:p w14:paraId="70F00D2C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10 | Adoption Is Moving Into Application</w:t>
      </w:r>
    </w:p>
    <w:p w14:paraId="443647BF" w14:textId="77777777" w:rsidR="000E24F5" w:rsidRPr="000E24F5" w:rsidRDefault="000E24F5" w:rsidP="000E24F5">
      <w:r w:rsidRPr="000E24F5">
        <w:t>The timing of this signal is also important.</w:t>
      </w:r>
    </w:p>
    <w:p w14:paraId="716B4C04" w14:textId="77777777" w:rsidR="000E24F5" w:rsidRPr="000E24F5" w:rsidRDefault="000E24F5" w:rsidP="000E24F5">
      <w:r w:rsidRPr="000E24F5">
        <w:t xml:space="preserve">At the IFRS Foundation's World Standard-setters Conference on 28 and 29 September, the programme included a plenary session dedicated to </w:t>
      </w:r>
      <w:r w:rsidRPr="000E24F5">
        <w:rPr>
          <w:b/>
          <w:bCs/>
        </w:rPr>
        <w:t>Adoption of IFRS Sustainability Disclosure Standards</w:t>
      </w:r>
      <w:r w:rsidRPr="000E24F5">
        <w:t xml:space="preserve">, alongside breakout sessions on </w:t>
      </w:r>
      <w:r w:rsidRPr="000E24F5">
        <w:rPr>
          <w:b/>
          <w:bCs/>
        </w:rPr>
        <w:t>Application of IFRS S1 and IFRS S2</w:t>
      </w:r>
      <w:r w:rsidRPr="000E24F5">
        <w:t xml:space="preserve"> and </w:t>
      </w:r>
      <w:r w:rsidRPr="000E24F5">
        <w:rPr>
          <w:b/>
          <w:bCs/>
        </w:rPr>
        <w:t>Nature-related Disclosures</w:t>
      </w:r>
      <w:r w:rsidRPr="000E24F5">
        <w:t xml:space="preserve">. </w:t>
      </w:r>
    </w:p>
    <w:p w14:paraId="3C50294B" w14:textId="77777777" w:rsidR="000E24F5" w:rsidRPr="000E24F5" w:rsidRDefault="000E24F5" w:rsidP="000E24F5">
      <w:r w:rsidRPr="000E24F5">
        <w:t xml:space="preserve">The ISSB's September update also continued its work on supporting implementation of IFRS S1 and IFRS S2, while its former Human Capital project </w:t>
      </w:r>
      <w:r w:rsidRPr="000E24F5">
        <w:lastRenderedPageBreak/>
        <w:t xml:space="preserve">was formally renamed </w:t>
      </w:r>
      <w:r w:rsidRPr="000E24F5">
        <w:rPr>
          <w:b/>
          <w:bCs/>
        </w:rPr>
        <w:t>Workforce-related Disclosures</w:t>
      </w:r>
      <w:r w:rsidRPr="000E24F5">
        <w:t xml:space="preserve">, indicating that the thematic scope of sustainability standard-setting continues to develop as implementation proceeds. </w:t>
      </w:r>
    </w:p>
    <w:p w14:paraId="6A4CF531" w14:textId="77777777" w:rsidR="000E24F5" w:rsidRPr="000E24F5" w:rsidRDefault="000E24F5" w:rsidP="000E24F5">
      <w:r w:rsidRPr="000E24F5">
        <w:t>This creates three simultaneous movements:</w:t>
      </w:r>
    </w:p>
    <w:p w14:paraId="25673590" w14:textId="77777777" w:rsidR="000E24F5" w:rsidRPr="000E24F5" w:rsidRDefault="000E24F5" w:rsidP="000E24F5">
      <w:r w:rsidRPr="000E24F5">
        <w:rPr>
          <w:b/>
          <w:bCs/>
        </w:rPr>
        <w:t>Adoption</w:t>
      </w:r>
    </w:p>
    <w:p w14:paraId="037EAA36" w14:textId="77777777" w:rsidR="000E24F5" w:rsidRPr="000E24F5" w:rsidRDefault="000E24F5" w:rsidP="000E24F5">
      <w:r w:rsidRPr="000E24F5">
        <w:t>↓</w:t>
      </w:r>
    </w:p>
    <w:p w14:paraId="2D548560" w14:textId="77777777" w:rsidR="000E24F5" w:rsidRPr="000E24F5" w:rsidRDefault="000E24F5" w:rsidP="000E24F5">
      <w:r w:rsidRPr="000E24F5">
        <w:rPr>
          <w:b/>
          <w:bCs/>
        </w:rPr>
        <w:t>Application</w:t>
      </w:r>
    </w:p>
    <w:p w14:paraId="1E8D90B7" w14:textId="77777777" w:rsidR="000E24F5" w:rsidRPr="000E24F5" w:rsidRDefault="000E24F5" w:rsidP="000E24F5">
      <w:r w:rsidRPr="000E24F5">
        <w:t>↓</w:t>
      </w:r>
    </w:p>
    <w:p w14:paraId="37F571FB" w14:textId="77777777" w:rsidR="000E24F5" w:rsidRPr="000E24F5" w:rsidRDefault="000E24F5" w:rsidP="000E24F5">
      <w:r w:rsidRPr="000E24F5">
        <w:rPr>
          <w:b/>
          <w:bCs/>
        </w:rPr>
        <w:t>Expansion</w:t>
      </w:r>
    </w:p>
    <w:p w14:paraId="5E22782F" w14:textId="77777777" w:rsidR="000E24F5" w:rsidRPr="000E24F5" w:rsidRDefault="000E24F5" w:rsidP="000E24F5">
      <w:r w:rsidRPr="000E24F5">
        <w:t>The global baseline is therefore no longer only a standard-setting project.</w:t>
      </w:r>
    </w:p>
    <w:p w14:paraId="6B698048" w14:textId="77777777" w:rsidR="000E24F5" w:rsidRPr="000E24F5" w:rsidRDefault="000E24F5" w:rsidP="000E24F5">
      <w:r w:rsidRPr="000E24F5">
        <w:t>It is becoming an implementation ecosystem.</w:t>
      </w:r>
    </w:p>
    <w:p w14:paraId="496B48DC" w14:textId="77777777" w:rsidR="000E24F5" w:rsidRPr="000E24F5" w:rsidRDefault="000E24F5" w:rsidP="000E24F5">
      <w:r w:rsidRPr="000E24F5">
        <w:t>And the larger that ecosystem becomes, the more important jurisdictional implementation state becomes as a separate layer of evidence.</w:t>
      </w:r>
    </w:p>
    <w:p w14:paraId="33D6FFC2" w14:textId="77777777" w:rsidR="000E24F5" w:rsidRPr="000E24F5" w:rsidRDefault="000E24F5" w:rsidP="000E24F5">
      <w:r w:rsidRPr="000E24F5">
        <w:pict w14:anchorId="74C9B16F">
          <v:rect id="_x0000_i1168" style="width:486pt;height:.75pt" o:hrpct="0" o:hralign="center" o:hrstd="t" o:hr="t" fillcolor="#a0a0a0" stroked="f"/>
        </w:pict>
      </w:r>
    </w:p>
    <w:p w14:paraId="5A1E752A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11 | Evidence Infrastructure Perspective</w:t>
      </w:r>
    </w:p>
    <w:p w14:paraId="5D81B53B" w14:textId="77777777" w:rsidR="000E24F5" w:rsidRPr="000E24F5" w:rsidRDefault="000E24F5" w:rsidP="000E24F5">
      <w:r w:rsidRPr="000E24F5">
        <w:t>Viewed through a Pre-Disclosure Evidence Infrastructure lens, the implication is straightforward.</w:t>
      </w:r>
    </w:p>
    <w:p w14:paraId="541284A1" w14:textId="77777777" w:rsidR="000E24F5" w:rsidRPr="000E24F5" w:rsidRDefault="000E24F5" w:rsidP="000E24F5">
      <w:r w:rsidRPr="000E24F5">
        <w:t>Evidence does not need to be recreated every time the jurisdiction changes.</w:t>
      </w:r>
    </w:p>
    <w:p w14:paraId="6576F96A" w14:textId="77777777" w:rsidR="000E24F5" w:rsidRPr="000E24F5" w:rsidRDefault="000E24F5" w:rsidP="000E24F5">
      <w:r w:rsidRPr="000E24F5">
        <w:t>But the governance context surrounding the evidence must remain identifiable.</w:t>
      </w:r>
    </w:p>
    <w:p w14:paraId="204B4B0D" w14:textId="77777777" w:rsidR="000E24F5" w:rsidRPr="000E24F5" w:rsidRDefault="000E24F5" w:rsidP="000E24F5">
      <w:r w:rsidRPr="000E24F5">
        <w:t>A robust evidence object may therefore retain its own:</w:t>
      </w:r>
    </w:p>
    <w:p w14:paraId="038AE8A6" w14:textId="77777777" w:rsidR="000E24F5" w:rsidRPr="000E24F5" w:rsidRDefault="000E24F5" w:rsidP="000E24F5">
      <w:r w:rsidRPr="000E24F5">
        <w:t>identity,</w:t>
      </w:r>
    </w:p>
    <w:p w14:paraId="030BE141" w14:textId="77777777" w:rsidR="000E24F5" w:rsidRPr="000E24F5" w:rsidRDefault="000E24F5" w:rsidP="000E24F5">
      <w:r w:rsidRPr="000E24F5">
        <w:t>source,</w:t>
      </w:r>
    </w:p>
    <w:p w14:paraId="79CD2FE2" w14:textId="77777777" w:rsidR="000E24F5" w:rsidRPr="000E24F5" w:rsidRDefault="000E24F5" w:rsidP="000E24F5">
      <w:r w:rsidRPr="000E24F5">
        <w:t>time,</w:t>
      </w:r>
    </w:p>
    <w:p w14:paraId="4FB2F6ED" w14:textId="77777777" w:rsidR="000E24F5" w:rsidRPr="000E24F5" w:rsidRDefault="000E24F5" w:rsidP="000E24F5">
      <w:r w:rsidRPr="000E24F5">
        <w:t>method,</w:t>
      </w:r>
    </w:p>
    <w:p w14:paraId="1FB7BC63" w14:textId="77777777" w:rsidR="000E24F5" w:rsidRPr="000E24F5" w:rsidRDefault="000E24F5" w:rsidP="000E24F5">
      <w:r w:rsidRPr="000E24F5">
        <w:t>entity,</w:t>
      </w:r>
    </w:p>
    <w:p w14:paraId="66C2F715" w14:textId="77777777" w:rsidR="000E24F5" w:rsidRPr="000E24F5" w:rsidRDefault="000E24F5" w:rsidP="000E24F5">
      <w:r w:rsidRPr="000E24F5">
        <w:lastRenderedPageBreak/>
        <w:t>and provenance</w:t>
      </w:r>
    </w:p>
    <w:p w14:paraId="608DC7A7" w14:textId="77777777" w:rsidR="000E24F5" w:rsidRPr="000E24F5" w:rsidRDefault="000E24F5" w:rsidP="000E24F5">
      <w:r w:rsidRPr="000E24F5">
        <w:t>while a separate implementation layer determines:</w:t>
      </w:r>
    </w:p>
    <w:p w14:paraId="3A314881" w14:textId="77777777" w:rsidR="000E24F5" w:rsidRPr="000E24F5" w:rsidRDefault="000E24F5" w:rsidP="000E24F5">
      <w:r w:rsidRPr="000E24F5">
        <w:t>which standard applies,</w:t>
      </w:r>
    </w:p>
    <w:p w14:paraId="0FB759DA" w14:textId="77777777" w:rsidR="000E24F5" w:rsidRPr="000E24F5" w:rsidRDefault="000E24F5" w:rsidP="000E24F5">
      <w:r w:rsidRPr="000E24F5">
        <w:t>which local version applies,</w:t>
      </w:r>
    </w:p>
    <w:p w14:paraId="07FEC3A2" w14:textId="77777777" w:rsidR="000E24F5" w:rsidRPr="000E24F5" w:rsidRDefault="000E24F5" w:rsidP="000E24F5">
      <w:r w:rsidRPr="000E24F5">
        <w:t>whether the entity is in scope,</w:t>
      </w:r>
    </w:p>
    <w:p w14:paraId="53A3E39C" w14:textId="77777777" w:rsidR="000E24F5" w:rsidRPr="000E24F5" w:rsidRDefault="000E24F5" w:rsidP="000E24F5">
      <w:r w:rsidRPr="000E24F5">
        <w:t>whether the rule is effective,</w:t>
      </w:r>
    </w:p>
    <w:p w14:paraId="515FB5A2" w14:textId="77777777" w:rsidR="000E24F5" w:rsidRPr="000E24F5" w:rsidRDefault="000E24F5" w:rsidP="000E24F5">
      <w:r w:rsidRPr="000E24F5">
        <w:t>what relief is available,</w:t>
      </w:r>
    </w:p>
    <w:p w14:paraId="5FC7D926" w14:textId="77777777" w:rsidR="000E24F5" w:rsidRPr="000E24F5" w:rsidRDefault="000E24F5" w:rsidP="000E24F5">
      <w:r w:rsidRPr="000E24F5">
        <w:t>and what disclosure state is required.</w:t>
      </w:r>
    </w:p>
    <w:p w14:paraId="10E263B8" w14:textId="77777777" w:rsidR="000E24F5" w:rsidRPr="000E24F5" w:rsidRDefault="000E24F5" w:rsidP="000E24F5">
      <w:r w:rsidRPr="000E24F5">
        <w:t>The architecture becomes:</w:t>
      </w:r>
    </w:p>
    <w:p w14:paraId="5818464F" w14:textId="77777777" w:rsidR="000E24F5" w:rsidRPr="000E24F5" w:rsidRDefault="000E24F5" w:rsidP="000E24F5">
      <w:r w:rsidRPr="000E24F5">
        <w:rPr>
          <w:b/>
          <w:bCs/>
        </w:rPr>
        <w:t>Canonical Evidence</w:t>
      </w:r>
    </w:p>
    <w:p w14:paraId="364E34F1" w14:textId="77777777" w:rsidR="000E24F5" w:rsidRPr="000E24F5" w:rsidRDefault="000E24F5" w:rsidP="000E24F5">
      <w:r w:rsidRPr="000E24F5">
        <w:t>↓</w:t>
      </w:r>
    </w:p>
    <w:p w14:paraId="7151DF22" w14:textId="77777777" w:rsidR="000E24F5" w:rsidRPr="000E24F5" w:rsidRDefault="000E24F5" w:rsidP="000E24F5">
      <w:r w:rsidRPr="000E24F5">
        <w:rPr>
          <w:b/>
          <w:bCs/>
        </w:rPr>
        <w:t>Institutional Mapping</w:t>
      </w:r>
    </w:p>
    <w:p w14:paraId="6CEA1688" w14:textId="77777777" w:rsidR="000E24F5" w:rsidRPr="000E24F5" w:rsidRDefault="000E24F5" w:rsidP="000E24F5">
      <w:r w:rsidRPr="000E24F5">
        <w:t>↓</w:t>
      </w:r>
    </w:p>
    <w:p w14:paraId="6B6F50EC" w14:textId="77777777" w:rsidR="000E24F5" w:rsidRPr="000E24F5" w:rsidRDefault="000E24F5" w:rsidP="000E24F5">
      <w:r w:rsidRPr="000E24F5">
        <w:rPr>
          <w:b/>
          <w:bCs/>
        </w:rPr>
        <w:t>Jurisdictional Implementation State</w:t>
      </w:r>
    </w:p>
    <w:p w14:paraId="28804EC5" w14:textId="77777777" w:rsidR="000E24F5" w:rsidRPr="000E24F5" w:rsidRDefault="000E24F5" w:rsidP="000E24F5">
      <w:r w:rsidRPr="000E24F5">
        <w:t>↓</w:t>
      </w:r>
    </w:p>
    <w:p w14:paraId="5D5A97BB" w14:textId="77777777" w:rsidR="000E24F5" w:rsidRPr="000E24F5" w:rsidRDefault="000E24F5" w:rsidP="000E24F5">
      <w:r w:rsidRPr="000E24F5">
        <w:rPr>
          <w:b/>
          <w:bCs/>
        </w:rPr>
        <w:t>Entity-Specific Reporting Decision</w:t>
      </w:r>
    </w:p>
    <w:p w14:paraId="777BDBAA" w14:textId="77777777" w:rsidR="000E24F5" w:rsidRPr="000E24F5" w:rsidRDefault="000E24F5" w:rsidP="000E24F5">
      <w:r w:rsidRPr="000E24F5">
        <w:t>This preserves both reusability and legal context.</w:t>
      </w:r>
    </w:p>
    <w:p w14:paraId="65A6F6D3" w14:textId="77777777" w:rsidR="000E24F5" w:rsidRPr="000E24F5" w:rsidRDefault="000E24F5" w:rsidP="000E24F5">
      <w:r w:rsidRPr="000E24F5">
        <w:pict w14:anchorId="78A8DA18">
          <v:rect id="_x0000_i1169" style="width:486pt;height:.75pt" o:hrpct="0" o:hralign="center" o:hrstd="t" o:hr="t" fillcolor="#a0a0a0" stroked="f"/>
        </w:pict>
      </w:r>
    </w:p>
    <w:p w14:paraId="5157F669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12 | The Last Mile Problem</w:t>
      </w:r>
    </w:p>
    <w:p w14:paraId="3694FA5A" w14:textId="77777777" w:rsidR="000E24F5" w:rsidRPr="000E24F5" w:rsidRDefault="000E24F5" w:rsidP="000E24F5">
      <w:r w:rsidRPr="000E24F5">
        <w:t>The purpose of a global baseline is to reduce fragmentation.</w:t>
      </w:r>
    </w:p>
    <w:p w14:paraId="0C55313B" w14:textId="77777777" w:rsidR="000E24F5" w:rsidRPr="000E24F5" w:rsidRDefault="000E24F5" w:rsidP="000E24F5">
      <w:r w:rsidRPr="000E24F5">
        <w:t>That remains valuable.</w:t>
      </w:r>
    </w:p>
    <w:p w14:paraId="3B4E5271" w14:textId="77777777" w:rsidR="000E24F5" w:rsidRPr="000E24F5" w:rsidRDefault="000E24F5" w:rsidP="000E24F5">
      <w:r w:rsidRPr="000E24F5">
        <w:t>But global consistency cannot eliminate the regulatory responsibility of jurisdictions.</w:t>
      </w:r>
    </w:p>
    <w:p w14:paraId="46BD80C2" w14:textId="77777777" w:rsidR="000E24F5" w:rsidRPr="000E24F5" w:rsidRDefault="000E24F5" w:rsidP="000E24F5">
      <w:r w:rsidRPr="000E24F5">
        <w:t>Capital markets differ.</w:t>
      </w:r>
    </w:p>
    <w:p w14:paraId="6F0165CB" w14:textId="77777777" w:rsidR="000E24F5" w:rsidRPr="000E24F5" w:rsidRDefault="000E24F5" w:rsidP="000E24F5">
      <w:r w:rsidRPr="000E24F5">
        <w:lastRenderedPageBreak/>
        <w:t>Legal systems differ.</w:t>
      </w:r>
    </w:p>
    <w:p w14:paraId="23AB1C5A" w14:textId="77777777" w:rsidR="000E24F5" w:rsidRPr="000E24F5" w:rsidRDefault="000E24F5" w:rsidP="000E24F5">
      <w:r w:rsidRPr="000E24F5">
        <w:t>Readiness differs.</w:t>
      </w:r>
    </w:p>
    <w:p w14:paraId="766B690E" w14:textId="77777777" w:rsidR="000E24F5" w:rsidRPr="000E24F5" w:rsidRDefault="000E24F5" w:rsidP="000E24F5">
      <w:r w:rsidRPr="000E24F5">
        <w:t>Reporting ecosystems differ.</w:t>
      </w:r>
    </w:p>
    <w:p w14:paraId="11AA3F6A" w14:textId="77777777" w:rsidR="000E24F5" w:rsidRPr="000E24F5" w:rsidRDefault="000E24F5" w:rsidP="000E24F5">
      <w:r w:rsidRPr="000E24F5">
        <w:t>Regulators therefore make local implementation decisions.</w:t>
      </w:r>
    </w:p>
    <w:p w14:paraId="4B4F8CC4" w14:textId="77777777" w:rsidR="000E24F5" w:rsidRPr="000E24F5" w:rsidRDefault="000E24F5" w:rsidP="000E24F5">
      <w:r w:rsidRPr="000E24F5">
        <w:t>The challenge is not to pretend those decisions do not exist.</w:t>
      </w:r>
    </w:p>
    <w:p w14:paraId="45D80B14" w14:textId="77777777" w:rsidR="000E24F5" w:rsidRPr="000E24F5" w:rsidRDefault="000E24F5" w:rsidP="000E24F5">
      <w:r w:rsidRPr="000E24F5">
        <w:t>It is to prevent them from breaking the evidence architecture.</w:t>
      </w:r>
    </w:p>
    <w:p w14:paraId="0C2DC9DF" w14:textId="77777777" w:rsidR="000E24F5" w:rsidRPr="000E24F5" w:rsidRDefault="000E24F5" w:rsidP="000E24F5">
      <w:r w:rsidRPr="000E24F5">
        <w:t>The global standard provides the common language.</w:t>
      </w:r>
    </w:p>
    <w:p w14:paraId="53A62E0D" w14:textId="77777777" w:rsidR="000E24F5" w:rsidRPr="000E24F5" w:rsidRDefault="000E24F5" w:rsidP="000E24F5">
      <w:r w:rsidRPr="000E24F5">
        <w:t>The jurisdiction provides the applicable state.</w:t>
      </w:r>
    </w:p>
    <w:p w14:paraId="294191D9" w14:textId="77777777" w:rsidR="000E24F5" w:rsidRPr="000E24F5" w:rsidRDefault="000E24F5" w:rsidP="000E24F5">
      <w:r w:rsidRPr="000E24F5">
        <w:t>The entity provides the reporting context.</w:t>
      </w:r>
    </w:p>
    <w:p w14:paraId="5385059A" w14:textId="77777777" w:rsidR="000E24F5" w:rsidRPr="000E24F5" w:rsidRDefault="000E24F5" w:rsidP="000E24F5">
      <w:r w:rsidRPr="000E24F5">
        <w:t>The evidence must survive all three.</w:t>
      </w:r>
    </w:p>
    <w:p w14:paraId="3134C1A2" w14:textId="77777777" w:rsidR="000E24F5" w:rsidRPr="000E24F5" w:rsidRDefault="000E24F5" w:rsidP="000E24F5">
      <w:r w:rsidRPr="000E24F5">
        <w:t>That is the last-mile problem.</w:t>
      </w:r>
    </w:p>
    <w:p w14:paraId="4FF531C7" w14:textId="77777777" w:rsidR="000E24F5" w:rsidRPr="000E24F5" w:rsidRDefault="000E24F5" w:rsidP="000E24F5">
      <w:r w:rsidRPr="000E24F5">
        <w:pict w14:anchorId="00C3C4C8">
          <v:rect id="_x0000_i1170" style="width:486pt;height:.75pt" o:hrpct="0" o:hralign="center" o:hrstd="t" o:hr="t" fillcolor="#a0a0a0" stroked="f"/>
        </w:pict>
      </w:r>
    </w:p>
    <w:p w14:paraId="0C83758A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Closing Signal</w:t>
      </w:r>
    </w:p>
    <w:p w14:paraId="2A40E53C" w14:textId="77777777" w:rsidR="000E24F5" w:rsidRPr="000E24F5" w:rsidRDefault="000E24F5" w:rsidP="000E24F5">
      <w:r w:rsidRPr="000E24F5">
        <w:t xml:space="preserve">The UK has now </w:t>
      </w:r>
      <w:proofErr w:type="spellStart"/>
      <w:r w:rsidRPr="000E24F5">
        <w:t>finalised</w:t>
      </w:r>
      <w:proofErr w:type="spellEnd"/>
      <w:r w:rsidRPr="000E24F5">
        <w:t xml:space="preserve"> how UK SRS will operate for listed issuers.</w:t>
      </w:r>
    </w:p>
    <w:p w14:paraId="16A6E7D2" w14:textId="77777777" w:rsidR="000E24F5" w:rsidRPr="000E24F5" w:rsidRDefault="000E24F5" w:rsidP="000E24F5">
      <w:r w:rsidRPr="000E24F5">
        <w:t>The result is closely aligned with the ISSB global baseline.</w:t>
      </w:r>
    </w:p>
    <w:p w14:paraId="1C181F89" w14:textId="77777777" w:rsidR="000E24F5" w:rsidRPr="000E24F5" w:rsidRDefault="000E24F5" w:rsidP="000E24F5">
      <w:r w:rsidRPr="000E24F5">
        <w:t>And yet it has its own:</w:t>
      </w:r>
    </w:p>
    <w:p w14:paraId="647E7FBE" w14:textId="77777777" w:rsidR="000E24F5" w:rsidRPr="000E24F5" w:rsidRDefault="000E24F5" w:rsidP="000E24F5">
      <w:r w:rsidRPr="000E24F5">
        <w:t>entity scope,</w:t>
      </w:r>
    </w:p>
    <w:p w14:paraId="63F785F8" w14:textId="77777777" w:rsidR="000E24F5" w:rsidRPr="000E24F5" w:rsidRDefault="000E24F5" w:rsidP="000E24F5">
      <w:r w:rsidRPr="000E24F5">
        <w:t>effective date,</w:t>
      </w:r>
    </w:p>
    <w:p w14:paraId="29DB7527" w14:textId="77777777" w:rsidR="000E24F5" w:rsidRPr="000E24F5" w:rsidRDefault="000E24F5" w:rsidP="000E24F5">
      <w:r w:rsidRPr="000E24F5">
        <w:t>comply-or-explain mechanism,</w:t>
      </w:r>
    </w:p>
    <w:p w14:paraId="632A2EE2" w14:textId="77777777" w:rsidR="000E24F5" w:rsidRPr="000E24F5" w:rsidRDefault="000E24F5" w:rsidP="000E24F5">
      <w:r w:rsidRPr="000E24F5">
        <w:t>transitional reliefs,</w:t>
      </w:r>
    </w:p>
    <w:p w14:paraId="64558C82" w14:textId="77777777" w:rsidR="000E24F5" w:rsidRPr="000E24F5" w:rsidRDefault="000E24F5" w:rsidP="000E24F5">
      <w:r w:rsidRPr="000E24F5">
        <w:t xml:space="preserve">and supervisory pathway. </w:t>
      </w:r>
      <w:hyperlink r:id="rId11" w:tgtFrame="_self" w:history="1">
        <w:r w:rsidRPr="000E24F5">
          <w:rPr>
            <w:rStyle w:val="ae"/>
            <w:b/>
            <w:bCs/>
          </w:rPr>
          <w:t>FCA</w:t>
        </w:r>
      </w:hyperlink>
    </w:p>
    <w:p w14:paraId="40FC5375" w14:textId="77777777" w:rsidR="000E24F5" w:rsidRPr="000E24F5" w:rsidRDefault="000E24F5" w:rsidP="000E24F5">
      <w:r w:rsidRPr="000E24F5">
        <w:t>This is not a contradiction.</w:t>
      </w:r>
    </w:p>
    <w:p w14:paraId="2B1A8F7D" w14:textId="77777777" w:rsidR="000E24F5" w:rsidRPr="000E24F5" w:rsidRDefault="000E24F5" w:rsidP="000E24F5">
      <w:r w:rsidRPr="000E24F5">
        <w:t>It is what implementation looks like.</w:t>
      </w:r>
    </w:p>
    <w:p w14:paraId="34FF7C09" w14:textId="77777777" w:rsidR="000E24F5" w:rsidRPr="000E24F5" w:rsidRDefault="000E24F5" w:rsidP="000E24F5">
      <w:r w:rsidRPr="000E24F5">
        <w:t xml:space="preserve">The IFRS Foundation's own jurisdictional profiles, snapshots and roadmap tools </w:t>
      </w:r>
      <w:r w:rsidRPr="000E24F5">
        <w:lastRenderedPageBreak/>
        <w:t xml:space="preserve">already reflect the reality that global adoption occurs through different regulatory states. </w:t>
      </w:r>
      <w:hyperlink r:id="rId12" w:tgtFrame="_self" w:history="1">
        <w:r w:rsidRPr="000E24F5">
          <w:rPr>
            <w:rStyle w:val="ae"/>
            <w:b/>
            <w:bCs/>
          </w:rPr>
          <w:t>IFRS Foundation</w:t>
        </w:r>
      </w:hyperlink>
    </w:p>
    <w:p w14:paraId="48464600" w14:textId="77777777" w:rsidR="000E24F5" w:rsidRPr="000E24F5" w:rsidRDefault="000E24F5" w:rsidP="000E24F5">
      <w:r w:rsidRPr="000E24F5">
        <w:t xml:space="preserve">That produces the signal behind </w:t>
      </w:r>
      <w:r w:rsidRPr="000E24F5">
        <w:rPr>
          <w:b/>
          <w:bCs/>
        </w:rPr>
        <w:t>Evidence Infrastructure Signal · 022</w:t>
      </w:r>
      <w:r w:rsidRPr="000E24F5">
        <w:t>.</w:t>
      </w:r>
    </w:p>
    <w:p w14:paraId="4AF85AF2" w14:textId="77777777" w:rsidR="000E24F5" w:rsidRPr="000E24F5" w:rsidRDefault="000E24F5" w:rsidP="000E24F5">
      <w:r w:rsidRPr="000E24F5">
        <w:t>The standard can be global.</w:t>
      </w:r>
    </w:p>
    <w:p w14:paraId="34C5D3CD" w14:textId="77777777" w:rsidR="000E24F5" w:rsidRPr="000E24F5" w:rsidRDefault="000E24F5" w:rsidP="000E24F5">
      <w:r w:rsidRPr="000E24F5">
        <w:t>The evidence can be reusable.</w:t>
      </w:r>
    </w:p>
    <w:p w14:paraId="245B29CE" w14:textId="77777777" w:rsidR="000E24F5" w:rsidRPr="000E24F5" w:rsidRDefault="000E24F5" w:rsidP="000E24F5">
      <w:r w:rsidRPr="000E24F5">
        <w:t>The reporting architecture can be interoperable.</w:t>
      </w:r>
    </w:p>
    <w:p w14:paraId="585F7E81" w14:textId="77777777" w:rsidR="000E24F5" w:rsidRPr="000E24F5" w:rsidRDefault="000E24F5" w:rsidP="000E24F5">
      <w:r w:rsidRPr="000E24F5">
        <w:t>But before any of them reach an entity-level obligation:</w:t>
      </w:r>
    </w:p>
    <w:p w14:paraId="6284FD51" w14:textId="77777777" w:rsidR="000E24F5" w:rsidRPr="000E24F5" w:rsidRDefault="000E24F5" w:rsidP="000E24F5">
      <w:r w:rsidRPr="000E24F5">
        <w:rPr>
          <w:b/>
          <w:bCs/>
        </w:rPr>
        <w:t>the last mile is jurisdictional.</w:t>
      </w:r>
    </w:p>
    <w:p w14:paraId="22F70031" w14:textId="77777777" w:rsidR="000E24F5" w:rsidRPr="000E24F5" w:rsidRDefault="000E24F5" w:rsidP="000E24F5">
      <w:r w:rsidRPr="000E24F5">
        <w:t>And that means the next layer of sustainability interoperability is not only knowing:</w:t>
      </w:r>
    </w:p>
    <w:p w14:paraId="78CF23A0" w14:textId="77777777" w:rsidR="000E24F5" w:rsidRPr="000E24F5" w:rsidRDefault="000E24F5" w:rsidP="000E24F5">
      <w:r w:rsidRPr="000E24F5">
        <w:rPr>
          <w:b/>
          <w:bCs/>
        </w:rPr>
        <w:t>which standard an evidence object relates to.</w:t>
      </w:r>
    </w:p>
    <w:p w14:paraId="3D96AA6F" w14:textId="77777777" w:rsidR="000E24F5" w:rsidRPr="000E24F5" w:rsidRDefault="000E24F5" w:rsidP="000E24F5">
      <w:r w:rsidRPr="000E24F5">
        <w:t>It is also knowing:</w:t>
      </w:r>
    </w:p>
    <w:p w14:paraId="58154129" w14:textId="77777777" w:rsidR="000E24F5" w:rsidRPr="000E24F5" w:rsidRDefault="000E24F5" w:rsidP="000E24F5">
      <w:r w:rsidRPr="000E24F5">
        <w:rPr>
          <w:b/>
          <w:bCs/>
        </w:rPr>
        <w:t>which implementation state currently governs its use.</w:t>
      </w:r>
    </w:p>
    <w:p w14:paraId="42719DC2" w14:textId="77777777" w:rsidR="000E24F5" w:rsidRPr="000E24F5" w:rsidRDefault="000E24F5" w:rsidP="000E24F5">
      <w:r w:rsidRPr="000E24F5">
        <w:pict w14:anchorId="7160DC15">
          <v:rect id="_x0000_i1171" style="width:486pt;height:.75pt" o:hrpct="0" o:hralign="center" o:hrstd="t" o:hr="t" fillcolor="#a0a0a0" stroked="f"/>
        </w:pict>
      </w:r>
    </w:p>
    <w:p w14:paraId="1BBDE97B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Methodological Boundary</w:t>
      </w:r>
    </w:p>
    <w:p w14:paraId="5FB2CA88" w14:textId="77777777" w:rsidR="000E24F5" w:rsidRPr="000E24F5" w:rsidRDefault="000E24F5" w:rsidP="000E24F5">
      <w:r w:rsidRPr="000E24F5">
        <w:t>This Signal does not argue that jurisdictional variation represents failure of the ISSB global baseline.</w:t>
      </w:r>
    </w:p>
    <w:p w14:paraId="69109BBF" w14:textId="77777777" w:rsidR="000E24F5" w:rsidRPr="000E24F5" w:rsidRDefault="000E24F5" w:rsidP="000E24F5">
      <w:r w:rsidRPr="000E24F5">
        <w:t>Nor does it rank or evaluate jurisdictions according to the strictness of their implementation approach.</w:t>
      </w:r>
    </w:p>
    <w:p w14:paraId="3D33CE25" w14:textId="77777777" w:rsidR="000E24F5" w:rsidRPr="000E24F5" w:rsidRDefault="000E24F5" w:rsidP="000E24F5">
      <w:r w:rsidRPr="000E24F5">
        <w:t xml:space="preserve">The UK example is used because FCA PS26/19 was </w:t>
      </w:r>
      <w:proofErr w:type="spellStart"/>
      <w:r w:rsidRPr="000E24F5">
        <w:t>finalised</w:t>
      </w:r>
      <w:proofErr w:type="spellEnd"/>
      <w:r w:rsidRPr="000E24F5">
        <w:t xml:space="preserve"> on 30 September 2026 and provides a current, observable implementation case.</w:t>
      </w:r>
    </w:p>
    <w:p w14:paraId="07784087" w14:textId="77777777" w:rsidR="000E24F5" w:rsidRPr="000E24F5" w:rsidRDefault="000E24F5" w:rsidP="000E24F5">
      <w:r w:rsidRPr="000E24F5">
        <w:t>The concepts:</w:t>
      </w:r>
    </w:p>
    <w:p w14:paraId="2B5041C7" w14:textId="77777777" w:rsidR="000E24F5" w:rsidRPr="000E24F5" w:rsidRDefault="000E24F5" w:rsidP="000E24F5">
      <w:r w:rsidRPr="000E24F5">
        <w:rPr>
          <w:b/>
          <w:bCs/>
        </w:rPr>
        <w:t>Jurisdictional Implementation State</w:t>
      </w:r>
    </w:p>
    <w:p w14:paraId="40F834C0" w14:textId="77777777" w:rsidR="000E24F5" w:rsidRPr="000E24F5" w:rsidRDefault="000E24F5" w:rsidP="000E24F5">
      <w:r w:rsidRPr="000E24F5">
        <w:t>and</w:t>
      </w:r>
    </w:p>
    <w:p w14:paraId="0D0C9234" w14:textId="77777777" w:rsidR="000E24F5" w:rsidRPr="000E24F5" w:rsidRDefault="000E24F5" w:rsidP="000E24F5">
      <w:r w:rsidRPr="000E24F5">
        <w:rPr>
          <w:b/>
          <w:bCs/>
        </w:rPr>
        <w:t>Regulatory Implementation Interoperability</w:t>
      </w:r>
    </w:p>
    <w:p w14:paraId="3651904F" w14:textId="77777777" w:rsidR="000E24F5" w:rsidRPr="000E24F5" w:rsidRDefault="000E24F5" w:rsidP="000E24F5">
      <w:r w:rsidRPr="000E24F5">
        <w:lastRenderedPageBreak/>
        <w:t xml:space="preserve">represent </w:t>
      </w:r>
      <w:hyperlink r:id="rId13" w:tgtFrame="_self" w:history="1">
        <w:r w:rsidRPr="000E24F5">
          <w:rPr>
            <w:rStyle w:val="ae"/>
            <w:b/>
            <w:bCs/>
          </w:rPr>
          <w:t>EMJ.LIFE</w:t>
        </w:r>
      </w:hyperlink>
      <w:r w:rsidRPr="000E24F5">
        <w:rPr>
          <w:b/>
          <w:bCs/>
        </w:rPr>
        <w:t>'s institutional interpretation</w:t>
      </w:r>
      <w:r w:rsidRPr="000E24F5">
        <w:t xml:space="preserve"> of the evidence architecture emerging around jurisdictional adoption and application.</w:t>
      </w:r>
    </w:p>
    <w:p w14:paraId="721A021C" w14:textId="77777777" w:rsidR="000E24F5" w:rsidRPr="000E24F5" w:rsidRDefault="000E24F5" w:rsidP="000E24F5">
      <w:r w:rsidRPr="000E24F5">
        <w:t>They are not terminology adopted by the IFRS Foundation, ISSB, FCA or UK Government.</w:t>
      </w:r>
    </w:p>
    <w:p w14:paraId="6ACFDD16" w14:textId="77777777" w:rsidR="000E24F5" w:rsidRPr="000E24F5" w:rsidRDefault="000E24F5" w:rsidP="000E24F5">
      <w:r w:rsidRPr="000E24F5">
        <w:pict w14:anchorId="2BE81102">
          <v:rect id="_x0000_i1172" style="width:486pt;height:.75pt" o:hrpct="0" o:hralign="center" o:hrstd="t" o:hr="t" fillcolor="#a0a0a0" stroked="f"/>
        </w:pict>
      </w:r>
    </w:p>
    <w:p w14:paraId="43618B01" w14:textId="77777777" w:rsidR="000E24F5" w:rsidRPr="000E24F5" w:rsidRDefault="000E24F5" w:rsidP="000E24F5">
      <w:pPr>
        <w:rPr>
          <w:b/>
          <w:bCs/>
        </w:rPr>
      </w:pPr>
      <w:r w:rsidRPr="000E24F5">
        <w:rPr>
          <w:b/>
          <w:bCs/>
        </w:rPr>
        <w:t>Primary Sources</w:t>
      </w:r>
    </w:p>
    <w:p w14:paraId="101E8281" w14:textId="77777777" w:rsidR="000E24F5" w:rsidRPr="000E24F5" w:rsidRDefault="000E24F5" w:rsidP="000E24F5">
      <w:r w:rsidRPr="000E24F5">
        <w:rPr>
          <w:b/>
          <w:bCs/>
        </w:rPr>
        <w:t>Financial Conduct Authority | PS26/19</w:t>
      </w:r>
      <w:r w:rsidRPr="000E24F5">
        <w:t xml:space="preserve"> </w:t>
      </w:r>
      <w:r w:rsidRPr="000E24F5">
        <w:rPr>
          <w:i/>
          <w:iCs/>
        </w:rPr>
        <w:t>Aligning listed issuers' sustainability disclosures with international standards</w:t>
      </w:r>
      <w:r w:rsidRPr="000E24F5">
        <w:t xml:space="preserve"> 30 September 2026. Final rules apply a comply-or-explain approach across UK SRS S1 and S2 from accounting periods beginning 1 January 2027, with defined transitional reliefs. </w:t>
      </w:r>
      <w:hyperlink r:id="rId14" w:tgtFrame="_self" w:history="1">
        <w:r w:rsidRPr="000E24F5">
          <w:rPr>
            <w:rStyle w:val="ae"/>
            <w:b/>
            <w:bCs/>
          </w:rPr>
          <w:t>FCA</w:t>
        </w:r>
      </w:hyperlink>
    </w:p>
    <w:p w14:paraId="7D8139DE" w14:textId="77777777" w:rsidR="000E24F5" w:rsidRPr="000E24F5" w:rsidRDefault="000E24F5" w:rsidP="000E24F5">
      <w:r w:rsidRPr="000E24F5">
        <w:rPr>
          <w:b/>
          <w:bCs/>
        </w:rPr>
        <w:t>UK Government | UK Sustainability Reporting Standards</w:t>
      </w:r>
      <w:r w:rsidRPr="000E24F5">
        <w:t xml:space="preserve"> Final UK SRS S1 and S2 published 25 February 2026 as the UK's endorsed sustainability standards based on the ISSB global baseline. </w:t>
      </w:r>
      <w:hyperlink r:id="rId15" w:tgtFrame="_self" w:history="1">
        <w:r w:rsidRPr="000E24F5">
          <w:rPr>
            <w:rStyle w:val="ae"/>
            <w:b/>
            <w:bCs/>
          </w:rPr>
          <w:t>GOV.UK</w:t>
        </w:r>
      </w:hyperlink>
    </w:p>
    <w:p w14:paraId="619603E4" w14:textId="77777777" w:rsidR="000E24F5" w:rsidRPr="000E24F5" w:rsidRDefault="000E24F5" w:rsidP="000E24F5">
      <w:r w:rsidRPr="000E24F5">
        <w:rPr>
          <w:b/>
          <w:bCs/>
        </w:rPr>
        <w:t>IFRS Foundation | Use of ISSB Standards by jurisdiction</w:t>
      </w:r>
      <w:r w:rsidRPr="000E24F5">
        <w:t xml:space="preserve"> Jurisdictional profiles and snapshots provide structured visibility into </w:t>
      </w:r>
      <w:proofErr w:type="spellStart"/>
      <w:r w:rsidRPr="000E24F5">
        <w:t>finalised</w:t>
      </w:r>
      <w:proofErr w:type="spellEnd"/>
      <w:r w:rsidRPr="000E24F5">
        <w:t xml:space="preserve"> and developing adoption approaches. </w:t>
      </w:r>
      <w:hyperlink r:id="rId16" w:tgtFrame="_self" w:history="1">
        <w:r w:rsidRPr="000E24F5">
          <w:rPr>
            <w:rStyle w:val="ae"/>
            <w:b/>
            <w:bCs/>
          </w:rPr>
          <w:t>IFRS Foundation</w:t>
        </w:r>
      </w:hyperlink>
    </w:p>
    <w:p w14:paraId="5320209D" w14:textId="77777777" w:rsidR="000E24F5" w:rsidRPr="000E24F5" w:rsidRDefault="000E24F5" w:rsidP="000E24F5">
      <w:r w:rsidRPr="000E24F5">
        <w:rPr>
          <w:b/>
          <w:bCs/>
        </w:rPr>
        <w:t>IFRS Foundation | Inaugural Jurisdictional Guide and Roadmap Development Tool</w:t>
      </w:r>
      <w:r w:rsidRPr="000E24F5">
        <w:t xml:space="preserve"> Provides the architecture used to describe different jurisdictional adoption and transition approaches. </w:t>
      </w:r>
      <w:hyperlink r:id="rId17" w:tgtFrame="_self" w:history="1">
        <w:r w:rsidRPr="000E24F5">
          <w:rPr>
            <w:rStyle w:val="ae"/>
            <w:b/>
            <w:bCs/>
          </w:rPr>
          <w:t>IFRS Foundation</w:t>
        </w:r>
      </w:hyperlink>
    </w:p>
    <w:p w14:paraId="128FF843" w14:textId="77777777" w:rsidR="000E24F5" w:rsidRPr="000E24F5" w:rsidRDefault="000E24F5" w:rsidP="000E24F5">
      <w:r w:rsidRPr="000E24F5">
        <w:rPr>
          <w:b/>
          <w:bCs/>
        </w:rPr>
        <w:t>IFRS Foundation | World Standard-setters Conference 2026</w:t>
      </w:r>
      <w:r w:rsidRPr="000E24F5">
        <w:t xml:space="preserve"> 28–29 September 2026, including sessions on adoption of ISSB Standards, application of IFRS S1/S2 and nature-related disclosures.</w:t>
      </w:r>
    </w:p>
    <w:p w14:paraId="1AAC3C14" w14:textId="77777777" w:rsidR="00F10D07" w:rsidRPr="000E24F5" w:rsidRDefault="00F10D07"/>
    <w:sectPr w:rsidR="00F10D07" w:rsidRPr="000E24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7B"/>
    <w:rsid w:val="000E24F5"/>
    <w:rsid w:val="0064535D"/>
    <w:rsid w:val="007E240A"/>
    <w:rsid w:val="0088257B"/>
    <w:rsid w:val="00A6508E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5379"/>
  <w15:chartTrackingRefBased/>
  <w15:docId w15:val="{744B6C9D-10E3-43A0-8B9E-277B27F0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825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257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57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257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257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257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257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825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82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8257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82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8257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8257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8257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8257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825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25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8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25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825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825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25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25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2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825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257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E24F5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E24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emj.life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gov.uk/" TargetMode="External"/><Relationship Id="rId12" Type="http://schemas.openxmlformats.org/officeDocument/2006/relationships/hyperlink" Target="https://www.ifrs.org/ifrs-sustainability-disclosure-standards-around-the-world/use-by-jurisdiction/?utm_source=chatgpt.com" TargetMode="External"/><Relationship Id="rId17" Type="http://schemas.openxmlformats.org/officeDocument/2006/relationships/hyperlink" Target="https://www.ifrs.org/ifrs-sustainability-disclosure-standards-around-the-world/jurisdictional-guide/?utm_source=chatgpt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frs.org/ifrs-sustainability-disclosure-standards-around-the-world/use-by-jurisdiction/?utm_source=chatgpt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fca.org.uk/publications/policy-statements/ps26-19-aligning-listed-issuers-sustainability-disclosures-international-standards?utm_source=chatgpt.com" TargetMode="External"/><Relationship Id="rId5" Type="http://schemas.openxmlformats.org/officeDocument/2006/relationships/hyperlink" Target="https://www.fca.org.uk/publications/policy-statements/ps26-19-aligning-listed-issuers-sustainability-disclosures-international-standards?utm_source=chatgpt.com" TargetMode="External"/><Relationship Id="rId15" Type="http://schemas.openxmlformats.org/officeDocument/2006/relationships/hyperlink" Target="http://gov.uk/" TargetMode="External"/><Relationship Id="rId10" Type="http://schemas.openxmlformats.org/officeDocument/2006/relationships/hyperlink" Target="https://www.fca.org.uk/publications/policy-statements/ps26-19-aligning-listed-issuers-sustainability-disclosures-international-standards?utm_source=chatgpt.com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www.fca.org.uk/publications/policy-statements/ps26-19-aligning-listed-issuers-sustainability-disclosures-international-standards?utm_source=chatgpt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2612</Words>
  <Characters>14893</Characters>
  <Application>Microsoft Office Word</Application>
  <DocSecurity>0</DocSecurity>
  <Lines>124</Lines>
  <Paragraphs>34</Paragraphs>
  <ScaleCrop>false</ScaleCrop>
  <Company/>
  <LinksUpToDate>false</LinksUpToDate>
  <CharactersWithSpaces>17471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3</cp:revision>
  <dcterms:created xsi:type="dcterms:W3CDTF">2026-10-02T04:34:00Z</dcterms:created>
  <dcterms:modified xsi:type="dcterms:W3CDTF">2026-10-02T04:34:00Z</dcterms:modified>
</cp:coreProperties>
</file>