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6433D" w14:textId="09286A57" w:rsidR="006E7E70" w:rsidRPr="006E7E70" w:rsidRDefault="006E7E70" w:rsidP="006E7E70">
      <w:r w:rsidRPr="006E7E70">
        <w:drawing>
          <wp:inline distT="0" distB="0" distL="0" distR="0" wp14:anchorId="2BC76DCB" wp14:editId="38237479">
            <wp:extent cx="5274310" cy="2964180"/>
            <wp:effectExtent l="0" t="0" r="2540" b="7620"/>
            <wp:docPr id="675025427" name="圖片 11" descr="A fixed evidence architecture makes cross-framework interoperability measur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41" descr="A fixed evidence architecture makes cross-framework interoperability measurable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E5899" w14:textId="77777777" w:rsidR="006E7E70" w:rsidRPr="006E7E70" w:rsidRDefault="006E7E70" w:rsidP="006E7E70">
      <w:r w:rsidRPr="006E7E70">
        <w:t>A fixed evidence architecture makes cross-framework interoperability measurable.</w:t>
      </w:r>
    </w:p>
    <w:p w14:paraId="7BD9AC76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EVIDENCE INFRASTRUCTURE SIGNAL · 019 WHEN INTEROPERABILITY BECOMES MEASURABLE</w:t>
      </w:r>
    </w:p>
    <w:p w14:paraId="04E6869E" w14:textId="77777777" w:rsidR="006E7E70" w:rsidRPr="006E7E70" w:rsidRDefault="006E7E70" w:rsidP="006E7E70">
      <w:r w:rsidRPr="006E7E70">
        <w:t>September 11, 2026</w:t>
      </w:r>
    </w:p>
    <w:p w14:paraId="1AC71685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What 768 Routing Positions Reveal About Cross-Framework Evidence Architecture</w:t>
      </w:r>
    </w:p>
    <w:p w14:paraId="62B7ABDB" w14:textId="77777777" w:rsidR="006E7E70" w:rsidRPr="006E7E70" w:rsidRDefault="006E7E70" w:rsidP="006E7E70">
      <w:r w:rsidRPr="006E7E70">
        <w:pict w14:anchorId="506C9D19">
          <v:rect id="_x0000_i1124" style="width:486pt;height:.75pt" o:hrpct="0" o:hralign="center" o:hrstd="t" o:hr="t" fillcolor="#a0a0a0" stroked="f"/>
        </w:pict>
      </w:r>
    </w:p>
    <w:p w14:paraId="3B48CB99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Evidence Infrastructure Signal</w:t>
      </w:r>
    </w:p>
    <w:p w14:paraId="72B77AA8" w14:textId="77777777" w:rsidR="006E7E70" w:rsidRPr="006E7E70" w:rsidRDefault="006E7E70" w:rsidP="006E7E70">
      <w:r w:rsidRPr="006E7E70">
        <w:t xml:space="preserve">Evidence Infrastructure Signal is a weekly institutional research publication series published by </w:t>
      </w:r>
      <w:hyperlink r:id="rId5" w:tgtFrame="_self" w:history="1">
        <w:r w:rsidRPr="006E7E70">
          <w:rPr>
            <w:rStyle w:val="ae"/>
            <w:b/>
            <w:bCs/>
          </w:rPr>
          <w:t>EMJ.LIFE</w:t>
        </w:r>
      </w:hyperlink>
      <w:r w:rsidRPr="006E7E70">
        <w:t>.</w:t>
      </w:r>
    </w:p>
    <w:p w14:paraId="03E96337" w14:textId="77777777" w:rsidR="006E7E70" w:rsidRPr="006E7E70" w:rsidRDefault="006E7E70" w:rsidP="006E7E70">
      <w:r w:rsidRPr="006E7E70">
        <w:t xml:space="preserve">The series identifies developments across sustainability reporting, governance, standards and evidence systems that may reveal broader requirements for </w:t>
      </w:r>
      <w:r w:rsidRPr="006E7E70">
        <w:rPr>
          <w:b/>
          <w:bCs/>
        </w:rPr>
        <w:t>Pre-Disclosure Evidence Infrastructure</w:t>
      </w:r>
      <w:r w:rsidRPr="006E7E70">
        <w:t>.</w:t>
      </w:r>
    </w:p>
    <w:p w14:paraId="2B8FE2EA" w14:textId="77777777" w:rsidR="006E7E70" w:rsidRPr="006E7E70" w:rsidRDefault="006E7E70" w:rsidP="006E7E70">
      <w:r w:rsidRPr="006E7E70">
        <w:t>This edition examines a new analytical possibility created by six published Direct Mapping Guides built on a common upstream evidence architecture.</w:t>
      </w:r>
    </w:p>
    <w:p w14:paraId="4A00EBBF" w14:textId="77777777" w:rsidR="006E7E70" w:rsidRPr="006E7E70" w:rsidRDefault="006E7E70" w:rsidP="006E7E70">
      <w:r w:rsidRPr="006E7E70">
        <w:t>The architecture begins with:</w:t>
      </w:r>
    </w:p>
    <w:p w14:paraId="2060D5D5" w14:textId="77777777" w:rsidR="006E7E70" w:rsidRPr="006E7E70" w:rsidRDefault="006E7E70" w:rsidP="006E7E70">
      <w:r w:rsidRPr="006E7E70">
        <w:rPr>
          <w:b/>
          <w:bCs/>
        </w:rPr>
        <w:t>IFRS ISSB + SASB</w:t>
      </w:r>
    </w:p>
    <w:p w14:paraId="3DF7FEE2" w14:textId="77777777" w:rsidR="006E7E70" w:rsidRPr="006E7E70" w:rsidRDefault="006E7E70" w:rsidP="006E7E70">
      <w:r w:rsidRPr="006E7E70">
        <w:lastRenderedPageBreak/>
        <w:t>as the upstream evidence anchor.</w:t>
      </w:r>
    </w:p>
    <w:p w14:paraId="6DF9E7E9" w14:textId="77777777" w:rsidR="006E7E70" w:rsidRPr="006E7E70" w:rsidRDefault="006E7E70" w:rsidP="006E7E70">
      <w:r w:rsidRPr="006E7E70">
        <w:t>That anchor is operationalized through the same:</w:t>
      </w:r>
    </w:p>
    <w:p w14:paraId="2742BE3F" w14:textId="77777777" w:rsidR="006E7E70" w:rsidRPr="006E7E70" w:rsidRDefault="006E7E70" w:rsidP="006E7E70">
      <w:r w:rsidRPr="006E7E70">
        <w:rPr>
          <w:b/>
          <w:bCs/>
        </w:rPr>
        <w:t>128 canonical MME task positions</w:t>
      </w:r>
    </w:p>
    <w:p w14:paraId="4689403E" w14:textId="77777777" w:rsidR="006E7E70" w:rsidRPr="006E7E70" w:rsidRDefault="006E7E70" w:rsidP="006E7E70">
      <w:r w:rsidRPr="006E7E70">
        <w:t>which are then routed into six mapped destination environments:</w:t>
      </w:r>
    </w:p>
    <w:p w14:paraId="1A725DB2" w14:textId="77777777" w:rsidR="006E7E70" w:rsidRPr="006E7E70" w:rsidRDefault="006E7E70" w:rsidP="006E7E70">
      <w:r w:rsidRPr="006E7E70">
        <w:rPr>
          <w:b/>
          <w:bCs/>
        </w:rPr>
        <w:t>GRI</w:t>
      </w:r>
    </w:p>
    <w:p w14:paraId="308140F8" w14:textId="77777777" w:rsidR="006E7E70" w:rsidRPr="006E7E70" w:rsidRDefault="006E7E70" w:rsidP="006E7E70">
      <w:r w:rsidRPr="006E7E70">
        <w:rPr>
          <w:b/>
          <w:bCs/>
        </w:rPr>
        <w:t>ESRS</w:t>
      </w:r>
    </w:p>
    <w:p w14:paraId="69A6329F" w14:textId="77777777" w:rsidR="006E7E70" w:rsidRPr="006E7E70" w:rsidRDefault="006E7E70" w:rsidP="006E7E70">
      <w:r w:rsidRPr="006E7E70">
        <w:rPr>
          <w:b/>
          <w:bCs/>
        </w:rPr>
        <w:t>TNFD</w:t>
      </w:r>
    </w:p>
    <w:p w14:paraId="27F0F75F" w14:textId="77777777" w:rsidR="006E7E70" w:rsidRPr="006E7E70" w:rsidRDefault="006E7E70" w:rsidP="006E7E70">
      <w:r w:rsidRPr="006E7E70">
        <w:rPr>
          <w:b/>
          <w:bCs/>
        </w:rPr>
        <w:t>COSO</w:t>
      </w:r>
    </w:p>
    <w:p w14:paraId="624EC9C8" w14:textId="77777777" w:rsidR="006E7E70" w:rsidRPr="006E7E70" w:rsidRDefault="006E7E70" w:rsidP="006E7E70">
      <w:r w:rsidRPr="006E7E70">
        <w:rPr>
          <w:b/>
          <w:bCs/>
        </w:rPr>
        <w:t>GHG Protocol Scope 3</w:t>
      </w:r>
    </w:p>
    <w:p w14:paraId="039FE86F" w14:textId="77777777" w:rsidR="006E7E70" w:rsidRPr="006E7E70" w:rsidRDefault="006E7E70" w:rsidP="006E7E70">
      <w:r w:rsidRPr="006E7E70">
        <w:t xml:space="preserve">and the </w:t>
      </w:r>
      <w:r w:rsidRPr="006E7E70">
        <w:rPr>
          <w:b/>
          <w:bCs/>
        </w:rPr>
        <w:t>United Nations Sustainable Development Goals.</w:t>
      </w:r>
    </w:p>
    <w:p w14:paraId="28A49795" w14:textId="77777777" w:rsidR="006E7E70" w:rsidRPr="006E7E70" w:rsidRDefault="006E7E70" w:rsidP="006E7E70">
      <w:r w:rsidRPr="006E7E70">
        <w:t>The upstream task population remains fixed.</w:t>
      </w:r>
    </w:p>
    <w:p w14:paraId="4D57FDE1" w14:textId="77777777" w:rsidR="006E7E70" w:rsidRPr="006E7E70" w:rsidRDefault="006E7E70" w:rsidP="006E7E70">
      <w:r w:rsidRPr="006E7E70">
        <w:t>The institutional destination changes.</w:t>
      </w:r>
    </w:p>
    <w:p w14:paraId="43B376E8" w14:textId="77777777" w:rsidR="006E7E70" w:rsidRPr="006E7E70" w:rsidRDefault="006E7E70" w:rsidP="006E7E70">
      <w:r w:rsidRPr="006E7E70">
        <w:t>This creates a controlled comparative population:</w:t>
      </w:r>
    </w:p>
    <w:p w14:paraId="56E577C6" w14:textId="77777777" w:rsidR="006E7E70" w:rsidRPr="006E7E70" w:rsidRDefault="006E7E70" w:rsidP="006E7E70">
      <w:r w:rsidRPr="006E7E70">
        <w:rPr>
          <w:b/>
          <w:bCs/>
        </w:rPr>
        <w:t>128 canonical MME tasks × 6 mapped destination environments = 768 routing positions</w:t>
      </w:r>
    </w:p>
    <w:p w14:paraId="3C30CA6F" w14:textId="77777777" w:rsidR="006E7E70" w:rsidRPr="006E7E70" w:rsidRDefault="006E7E70" w:rsidP="006E7E70">
      <w:r w:rsidRPr="006E7E70">
        <w:t>That stable denominator makes something possible that is often missing from interoperability discussions.</w:t>
      </w:r>
    </w:p>
    <w:p w14:paraId="36D2E68E" w14:textId="77777777" w:rsidR="006E7E70" w:rsidRPr="006E7E70" w:rsidRDefault="006E7E70" w:rsidP="006E7E70">
      <w:r w:rsidRPr="006E7E70">
        <w:t>The distribution of governed relationships can now be observed.</w:t>
      </w:r>
    </w:p>
    <w:p w14:paraId="53E3B472" w14:textId="77777777" w:rsidR="006E7E70" w:rsidRPr="006E7E70" w:rsidRDefault="006E7E70" w:rsidP="006E7E70">
      <w:r w:rsidRPr="006E7E70">
        <w:pict w14:anchorId="71D3BAF2">
          <v:rect id="_x0000_i1125" style="width:486pt;height:.75pt" o:hrpct="0" o:hralign="center" o:hrstd="t" o:hr="t" fillcolor="#a0a0a0" stroked="f"/>
        </w:pict>
      </w:r>
    </w:p>
    <w:p w14:paraId="618E519A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Signal of the Week</w:t>
      </w:r>
    </w:p>
    <w:p w14:paraId="2BDD7922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Interoperability Is Moving From Description to Observation</w:t>
      </w:r>
    </w:p>
    <w:p w14:paraId="6A7CCE50" w14:textId="77777777" w:rsidR="006E7E70" w:rsidRPr="006E7E70" w:rsidRDefault="006E7E70" w:rsidP="006E7E70">
      <w:r w:rsidRPr="006E7E70">
        <w:t>Interoperability is often discussed as a qualitative characteristic.</w:t>
      </w:r>
    </w:p>
    <w:p w14:paraId="5103BF68" w14:textId="77777777" w:rsidR="006E7E70" w:rsidRPr="006E7E70" w:rsidRDefault="006E7E70" w:rsidP="006E7E70">
      <w:r w:rsidRPr="006E7E70">
        <w:t>Systems are described as interoperable.</w:t>
      </w:r>
    </w:p>
    <w:p w14:paraId="17D2EBA6" w14:textId="77777777" w:rsidR="006E7E70" w:rsidRPr="006E7E70" w:rsidRDefault="006E7E70" w:rsidP="006E7E70">
      <w:r w:rsidRPr="006E7E70">
        <w:t>Partially interoperable.</w:t>
      </w:r>
    </w:p>
    <w:p w14:paraId="11A7043E" w14:textId="77777777" w:rsidR="006E7E70" w:rsidRPr="006E7E70" w:rsidRDefault="006E7E70" w:rsidP="006E7E70">
      <w:r w:rsidRPr="006E7E70">
        <w:t>Or fragmented.</w:t>
      </w:r>
    </w:p>
    <w:p w14:paraId="4F5A7632" w14:textId="77777777" w:rsidR="006E7E70" w:rsidRPr="006E7E70" w:rsidRDefault="006E7E70" w:rsidP="006E7E70">
      <w:r w:rsidRPr="006E7E70">
        <w:lastRenderedPageBreak/>
        <w:t>But those descriptions rarely provide a common denominator against which different institutional environments can be compared.</w:t>
      </w:r>
    </w:p>
    <w:p w14:paraId="5C75346E" w14:textId="77777777" w:rsidR="006E7E70" w:rsidRPr="006E7E70" w:rsidRDefault="006E7E70" w:rsidP="006E7E70">
      <w:r w:rsidRPr="006E7E70">
        <w:t>The six-guide corpus creates one.</w:t>
      </w:r>
    </w:p>
    <w:p w14:paraId="176938C1" w14:textId="77777777" w:rsidR="006E7E70" w:rsidRPr="006E7E70" w:rsidRDefault="006E7E70" w:rsidP="006E7E70">
      <w:r w:rsidRPr="006E7E70">
        <w:t>The upstream evidence architecture remains constant:</w:t>
      </w:r>
    </w:p>
    <w:p w14:paraId="3AB300F5" w14:textId="77777777" w:rsidR="006E7E70" w:rsidRPr="006E7E70" w:rsidRDefault="006E7E70" w:rsidP="006E7E70">
      <w:r w:rsidRPr="006E7E70">
        <w:rPr>
          <w:b/>
          <w:bCs/>
        </w:rPr>
        <w:t>IFRS ISSB + SASB anchored 128-task MME architecture</w:t>
      </w:r>
    </w:p>
    <w:p w14:paraId="00387D5E" w14:textId="77777777" w:rsidR="006E7E70" w:rsidRPr="006E7E70" w:rsidRDefault="006E7E70" w:rsidP="006E7E70">
      <w:r w:rsidRPr="006E7E70">
        <w:t>The destination environment changes.</w:t>
      </w:r>
    </w:p>
    <w:p w14:paraId="122E21C5" w14:textId="77777777" w:rsidR="006E7E70" w:rsidRPr="006E7E70" w:rsidRDefault="006E7E70" w:rsidP="006E7E70">
      <w:r w:rsidRPr="006E7E70">
        <w:t>Every canonical task therefore occupies one observable position in each of the six mapped environments.</w:t>
      </w:r>
    </w:p>
    <w:p w14:paraId="0ED232E6" w14:textId="77777777" w:rsidR="006E7E70" w:rsidRPr="006E7E70" w:rsidRDefault="006E7E70" w:rsidP="006E7E70">
      <w:r w:rsidRPr="006E7E70">
        <w:t>The analytical principle becomes:</w:t>
      </w:r>
    </w:p>
    <w:p w14:paraId="30F76978" w14:textId="77777777" w:rsidR="006E7E70" w:rsidRPr="006E7E70" w:rsidRDefault="006E7E70" w:rsidP="006E7E70">
      <w:r w:rsidRPr="006E7E70">
        <w:rPr>
          <w:b/>
          <w:bCs/>
        </w:rPr>
        <w:t>Hold the evidence architecture constant. Change the institutional destination. Observe the routing distribution.</w:t>
      </w:r>
    </w:p>
    <w:p w14:paraId="1E95EA4F" w14:textId="77777777" w:rsidR="006E7E70" w:rsidRPr="006E7E70" w:rsidRDefault="006E7E70" w:rsidP="006E7E70">
      <w:r w:rsidRPr="006E7E70">
        <w:t>Across the complete population:</w:t>
      </w:r>
    </w:p>
    <w:p w14:paraId="784A89D9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678 OF 768 POSITIONS</w:t>
      </w:r>
    </w:p>
    <w:p w14:paraId="5E975007" w14:textId="77777777" w:rsidR="006E7E70" w:rsidRPr="006E7E70" w:rsidRDefault="006E7E70" w:rsidP="006E7E70">
      <w:r w:rsidRPr="006E7E70">
        <w:t>contain a governed routing relationship.</w:t>
      </w:r>
    </w:p>
    <w:p w14:paraId="6DE602AB" w14:textId="77777777" w:rsidR="006E7E70" w:rsidRPr="006E7E70" w:rsidRDefault="006E7E70" w:rsidP="006E7E70">
      <w:r w:rsidRPr="006E7E70">
        <w:t>This produces an observed:</w:t>
      </w:r>
    </w:p>
    <w:p w14:paraId="2C014A11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88.28%</w:t>
      </w:r>
    </w:p>
    <w:p w14:paraId="4883300A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CROSS-FRAMEWORK ROUTABILITY DENSITY</w:t>
      </w:r>
    </w:p>
    <w:p w14:paraId="6BD6BC82" w14:textId="77777777" w:rsidR="006E7E70" w:rsidRPr="006E7E70" w:rsidRDefault="006E7E70" w:rsidP="006E7E70">
      <w:r w:rsidRPr="006E7E70">
        <w:t>But 88.28% is not the primary signal.</w:t>
      </w:r>
    </w:p>
    <w:p w14:paraId="280AAF01" w14:textId="77777777" w:rsidR="006E7E70" w:rsidRPr="006E7E70" w:rsidRDefault="006E7E70" w:rsidP="006E7E70">
      <w:r w:rsidRPr="006E7E70">
        <w:t>The stronger development is:</w:t>
      </w:r>
    </w:p>
    <w:p w14:paraId="3CE882DE" w14:textId="77777777" w:rsidR="006E7E70" w:rsidRPr="006E7E70" w:rsidRDefault="006E7E70" w:rsidP="006E7E70">
      <w:r w:rsidRPr="006E7E70">
        <w:rPr>
          <w:b/>
          <w:bCs/>
        </w:rPr>
        <w:t>Interoperability can now be observed against a stable denominator.</w:t>
      </w:r>
    </w:p>
    <w:p w14:paraId="3EF15FC2" w14:textId="77777777" w:rsidR="006E7E70" w:rsidRPr="006E7E70" w:rsidRDefault="006E7E70" w:rsidP="006E7E70">
      <w:r w:rsidRPr="006E7E70">
        <w:pict w14:anchorId="62B7C136">
          <v:rect id="_x0000_i1126" style="width:486pt;height:.75pt" o:hrpct="0" o:hralign="center" o:hrstd="t" o:hr="t" fillcolor="#a0a0a0" stroked="f"/>
        </w:pict>
      </w:r>
    </w:p>
    <w:p w14:paraId="4CF35889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Structural Signal</w:t>
      </w:r>
    </w:p>
    <w:p w14:paraId="2E986F6A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One Upstream Architecture Produces Different Routing Densities</w:t>
      </w:r>
    </w:p>
    <w:p w14:paraId="28F701B6" w14:textId="77777777" w:rsidR="006E7E70" w:rsidRPr="006E7E70" w:rsidRDefault="006E7E70" w:rsidP="006E7E70">
      <w:r w:rsidRPr="006E7E70">
        <w:t>Because the upstream MME population remains fixed, differences between the six mapped environments become visible.</w:t>
      </w:r>
    </w:p>
    <w:p w14:paraId="2709728B" w14:textId="77777777" w:rsidR="006E7E70" w:rsidRPr="006E7E70" w:rsidRDefault="006E7E70" w:rsidP="006E7E70">
      <w:r w:rsidRPr="006E7E70">
        <w:rPr>
          <w:b/>
          <w:bCs/>
        </w:rPr>
        <w:lastRenderedPageBreak/>
        <w:t>GRI</w:t>
      </w:r>
      <w:r w:rsidRPr="006E7E70">
        <w:t xml:space="preserve"> 127 / 128 </w:t>
      </w:r>
      <w:r w:rsidRPr="006E7E70">
        <w:rPr>
          <w:b/>
          <w:bCs/>
        </w:rPr>
        <w:t>99.2%</w:t>
      </w:r>
    </w:p>
    <w:p w14:paraId="307C06A7" w14:textId="77777777" w:rsidR="006E7E70" w:rsidRPr="006E7E70" w:rsidRDefault="006E7E70" w:rsidP="006E7E70">
      <w:r w:rsidRPr="006E7E70">
        <w:rPr>
          <w:b/>
          <w:bCs/>
        </w:rPr>
        <w:t>ESRS</w:t>
      </w:r>
      <w:r w:rsidRPr="006E7E70">
        <w:t xml:space="preserve"> 128 / 128 </w:t>
      </w:r>
      <w:r w:rsidRPr="006E7E70">
        <w:rPr>
          <w:b/>
          <w:bCs/>
        </w:rPr>
        <w:t>100.0%</w:t>
      </w:r>
    </w:p>
    <w:p w14:paraId="21180B70" w14:textId="77777777" w:rsidR="006E7E70" w:rsidRPr="006E7E70" w:rsidRDefault="006E7E70" w:rsidP="006E7E70">
      <w:r w:rsidRPr="006E7E70">
        <w:rPr>
          <w:b/>
          <w:bCs/>
        </w:rPr>
        <w:t>TNFD</w:t>
      </w:r>
      <w:r w:rsidRPr="006E7E70">
        <w:t xml:space="preserve"> 121 / 128 </w:t>
      </w:r>
      <w:r w:rsidRPr="006E7E70">
        <w:rPr>
          <w:b/>
          <w:bCs/>
        </w:rPr>
        <w:t>94.5%</w:t>
      </w:r>
    </w:p>
    <w:p w14:paraId="327B8834" w14:textId="77777777" w:rsidR="006E7E70" w:rsidRPr="006E7E70" w:rsidRDefault="006E7E70" w:rsidP="006E7E70">
      <w:r w:rsidRPr="006E7E70">
        <w:rPr>
          <w:b/>
          <w:bCs/>
        </w:rPr>
        <w:t>COSO</w:t>
      </w:r>
      <w:r w:rsidRPr="006E7E70">
        <w:t xml:space="preserve"> 128 / 128 </w:t>
      </w:r>
      <w:r w:rsidRPr="006E7E70">
        <w:rPr>
          <w:b/>
          <w:bCs/>
        </w:rPr>
        <w:t>100.0%</w:t>
      </w:r>
    </w:p>
    <w:p w14:paraId="4824F56D" w14:textId="77777777" w:rsidR="006E7E70" w:rsidRPr="006E7E70" w:rsidRDefault="006E7E70" w:rsidP="006E7E70">
      <w:r w:rsidRPr="006E7E70">
        <w:rPr>
          <w:b/>
          <w:bCs/>
        </w:rPr>
        <w:t>GHG Protocol Scope 3</w:t>
      </w:r>
      <w:r w:rsidRPr="006E7E70">
        <w:t xml:space="preserve"> 77 / 128 </w:t>
      </w:r>
      <w:r w:rsidRPr="006E7E70">
        <w:rPr>
          <w:b/>
          <w:bCs/>
        </w:rPr>
        <w:t>60.2%</w:t>
      </w:r>
    </w:p>
    <w:p w14:paraId="4CE83BD3" w14:textId="77777777" w:rsidR="006E7E70" w:rsidRPr="006E7E70" w:rsidRDefault="006E7E70" w:rsidP="006E7E70">
      <w:r w:rsidRPr="006E7E70">
        <w:rPr>
          <w:b/>
          <w:bCs/>
        </w:rPr>
        <w:t>UN SDGs</w:t>
      </w:r>
      <w:r w:rsidRPr="006E7E70">
        <w:t xml:space="preserve"> 97 / 128 </w:t>
      </w:r>
      <w:r w:rsidRPr="006E7E70">
        <w:rPr>
          <w:b/>
          <w:bCs/>
        </w:rPr>
        <w:t>75.8%</w:t>
      </w:r>
    </w:p>
    <w:p w14:paraId="044BF6B5" w14:textId="77777777" w:rsidR="006E7E70" w:rsidRPr="006E7E70" w:rsidRDefault="006E7E70" w:rsidP="006E7E70">
      <w:r w:rsidRPr="006E7E70">
        <w:t>This variation matters.</w:t>
      </w:r>
    </w:p>
    <w:p w14:paraId="71442430" w14:textId="77777777" w:rsidR="006E7E70" w:rsidRPr="006E7E70" w:rsidRDefault="006E7E70" w:rsidP="006E7E70">
      <w:r w:rsidRPr="006E7E70">
        <w:t>The underlying task architecture has not changed.</w:t>
      </w:r>
    </w:p>
    <w:p w14:paraId="5E2D4C9B" w14:textId="77777777" w:rsidR="006E7E70" w:rsidRPr="006E7E70" w:rsidRDefault="006E7E70" w:rsidP="006E7E70">
      <w:r w:rsidRPr="006E7E70">
        <w:t>What changed is the institutional destination against which the evidence relationship is being evaluated.</w:t>
      </w:r>
    </w:p>
    <w:p w14:paraId="0AE0CA3A" w14:textId="77777777" w:rsidR="006E7E70" w:rsidRPr="006E7E70" w:rsidRDefault="006E7E70" w:rsidP="006E7E70">
      <w:r w:rsidRPr="006E7E70">
        <w:t>A lower density therefore does not automatically represent weaker interoperability.</w:t>
      </w:r>
    </w:p>
    <w:p w14:paraId="6CBAC678" w14:textId="77777777" w:rsidR="006E7E70" w:rsidRPr="006E7E70" w:rsidRDefault="006E7E70" w:rsidP="006E7E70">
      <w:r w:rsidRPr="006E7E70">
        <w:t>It may indicate a narrower institutional purpose.</w:t>
      </w:r>
    </w:p>
    <w:p w14:paraId="545CDAA9" w14:textId="77777777" w:rsidR="006E7E70" w:rsidRPr="006E7E70" w:rsidRDefault="006E7E70" w:rsidP="006E7E70">
      <w:r w:rsidRPr="006E7E70">
        <w:t>It may reflect stronger activation requirements.</w:t>
      </w:r>
    </w:p>
    <w:p w14:paraId="093D62FC" w14:textId="77777777" w:rsidR="006E7E70" w:rsidRPr="006E7E70" w:rsidRDefault="006E7E70" w:rsidP="006E7E70">
      <w:r w:rsidRPr="006E7E70">
        <w:t>It may require additional entity, activity, boundary or methodological information.</w:t>
      </w:r>
    </w:p>
    <w:p w14:paraId="130B0C01" w14:textId="77777777" w:rsidR="006E7E70" w:rsidRPr="006E7E70" w:rsidRDefault="006E7E70" w:rsidP="006E7E70">
      <w:r w:rsidRPr="006E7E70">
        <w:t>Or it may indicate that no defensible default relationship should be established.</w:t>
      </w:r>
    </w:p>
    <w:p w14:paraId="29D84D85" w14:textId="77777777" w:rsidR="006E7E70" w:rsidRPr="006E7E70" w:rsidRDefault="006E7E70" w:rsidP="006E7E70">
      <w:r w:rsidRPr="006E7E70">
        <w:t xml:space="preserve">This means routing density is partly a property of the </w:t>
      </w:r>
      <w:r w:rsidRPr="006E7E70">
        <w:rPr>
          <w:b/>
          <w:bCs/>
        </w:rPr>
        <w:t>institutional destination</w:t>
      </w:r>
      <w:r w:rsidRPr="006E7E70">
        <w:t>, not simply the evidence object.</w:t>
      </w:r>
    </w:p>
    <w:p w14:paraId="6A22A1E8" w14:textId="77777777" w:rsidR="006E7E70" w:rsidRPr="006E7E70" w:rsidRDefault="006E7E70" w:rsidP="006E7E70">
      <w:r w:rsidRPr="006E7E70">
        <w:t>See content credentials</w:t>
      </w:r>
    </w:p>
    <w:p w14:paraId="4DAA4322" w14:textId="273443A1" w:rsidR="006E7E70" w:rsidRPr="006E7E70" w:rsidRDefault="006E7E70" w:rsidP="006E7E70">
      <w:r w:rsidRPr="006E7E70">
        <w:lastRenderedPageBreak/>
        <w:drawing>
          <wp:inline distT="0" distB="0" distL="0" distR="0" wp14:anchorId="3E7C12A7" wp14:editId="641C27EB">
            <wp:extent cx="5274310" cy="7911465"/>
            <wp:effectExtent l="0" t="0" r="2540" b="0"/>
            <wp:docPr id="468534220" name="圖片 9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26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E40E0" w14:textId="77777777" w:rsidR="006E7E70" w:rsidRPr="006E7E70" w:rsidRDefault="006E7E70" w:rsidP="006E7E70">
      <w:r w:rsidRPr="006E7E70">
        <w:t>Routing density varies across six mapped institutional environments.</w:t>
      </w:r>
    </w:p>
    <w:p w14:paraId="446B9CD4" w14:textId="77777777" w:rsidR="006E7E70" w:rsidRPr="006E7E70" w:rsidRDefault="006E7E70" w:rsidP="006E7E70">
      <w:r w:rsidRPr="006E7E70">
        <w:pict w14:anchorId="38E468EF">
          <v:rect id="_x0000_i1128" style="width:486pt;height:.75pt" o:hrpct="0" o:hralign="center" o:hrstd="t" o:hr="t" fillcolor="#a0a0a0" stroked="f"/>
        </w:pict>
      </w:r>
    </w:p>
    <w:p w14:paraId="6F6C477B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lastRenderedPageBreak/>
        <w:t>Institutional Signal</w:t>
      </w:r>
    </w:p>
    <w:p w14:paraId="27FF2B0D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The Canonical Tasks Are Also Unevenly Portable</w:t>
      </w:r>
    </w:p>
    <w:p w14:paraId="032364D2" w14:textId="77777777" w:rsidR="006E7E70" w:rsidRPr="006E7E70" w:rsidRDefault="006E7E70" w:rsidP="006E7E70">
      <w:r w:rsidRPr="006E7E70">
        <w:t>The corpus can also be examined from the opposite direction.</w:t>
      </w:r>
    </w:p>
    <w:p w14:paraId="7FDF909F" w14:textId="77777777" w:rsidR="006E7E70" w:rsidRPr="006E7E70" w:rsidRDefault="006E7E70" w:rsidP="006E7E70">
      <w:r w:rsidRPr="006E7E70">
        <w:t>Instead of asking:</w:t>
      </w:r>
    </w:p>
    <w:p w14:paraId="3EBC16C8" w14:textId="77777777" w:rsidR="006E7E70" w:rsidRPr="006E7E70" w:rsidRDefault="006E7E70" w:rsidP="006E7E70">
      <w:r w:rsidRPr="006E7E70">
        <w:t>How many canonical tasks route into each destination environment?</w:t>
      </w:r>
    </w:p>
    <w:p w14:paraId="50C2BA2A" w14:textId="77777777" w:rsidR="006E7E70" w:rsidRPr="006E7E70" w:rsidRDefault="006E7E70" w:rsidP="006E7E70">
      <w:r w:rsidRPr="006E7E70">
        <w:t>we can ask:</w:t>
      </w:r>
    </w:p>
    <w:p w14:paraId="596CD059" w14:textId="77777777" w:rsidR="006E7E70" w:rsidRPr="006E7E70" w:rsidRDefault="006E7E70" w:rsidP="006E7E70">
      <w:r w:rsidRPr="006E7E70">
        <w:rPr>
          <w:b/>
          <w:bCs/>
        </w:rPr>
        <w:t>How many destination environments can each canonical task enter?</w:t>
      </w:r>
    </w:p>
    <w:p w14:paraId="3E81C02C" w14:textId="77777777" w:rsidR="006E7E70" w:rsidRPr="006E7E70" w:rsidRDefault="006E7E70" w:rsidP="006E7E70">
      <w:r w:rsidRPr="006E7E70">
        <w:t>Of the 128 canonical MME tasks:</w:t>
      </w:r>
    </w:p>
    <w:p w14:paraId="12B629A9" w14:textId="77777777" w:rsidR="006E7E70" w:rsidRPr="006E7E70" w:rsidRDefault="006E7E70" w:rsidP="006E7E70">
      <w:r w:rsidRPr="006E7E70">
        <w:rPr>
          <w:b/>
          <w:bCs/>
        </w:rPr>
        <w:t>61 tasks</w:t>
      </w:r>
      <w:r w:rsidRPr="006E7E70">
        <w:t xml:space="preserve"> are routable across all six environments.</w:t>
      </w:r>
    </w:p>
    <w:p w14:paraId="7168EB6B" w14:textId="77777777" w:rsidR="006E7E70" w:rsidRPr="006E7E70" w:rsidRDefault="006E7E70" w:rsidP="006E7E70">
      <w:r w:rsidRPr="006E7E70">
        <w:rPr>
          <w:b/>
          <w:bCs/>
        </w:rPr>
        <w:t>46 tasks</w:t>
      </w:r>
      <w:r w:rsidRPr="006E7E70">
        <w:t xml:space="preserve"> are routable across five.</w:t>
      </w:r>
    </w:p>
    <w:p w14:paraId="611C5C75" w14:textId="77777777" w:rsidR="006E7E70" w:rsidRPr="006E7E70" w:rsidRDefault="006E7E70" w:rsidP="006E7E70">
      <w:r w:rsidRPr="006E7E70">
        <w:rPr>
          <w:b/>
          <w:bCs/>
        </w:rPr>
        <w:t>19 tasks</w:t>
      </w:r>
      <w:r w:rsidRPr="006E7E70">
        <w:t xml:space="preserve"> are routable across four.</w:t>
      </w:r>
    </w:p>
    <w:p w14:paraId="1813E69F" w14:textId="77777777" w:rsidR="006E7E70" w:rsidRPr="006E7E70" w:rsidRDefault="006E7E70" w:rsidP="006E7E70">
      <w:r w:rsidRPr="006E7E70">
        <w:rPr>
          <w:b/>
          <w:bCs/>
        </w:rPr>
        <w:t>2 tasks</w:t>
      </w:r>
      <w:r w:rsidRPr="006E7E70">
        <w:t xml:space="preserve"> are routable across three.</w:t>
      </w:r>
    </w:p>
    <w:p w14:paraId="4E832DBD" w14:textId="77777777" w:rsidR="006E7E70" w:rsidRPr="006E7E70" w:rsidRDefault="006E7E70" w:rsidP="006E7E70">
      <w:r w:rsidRPr="006E7E70">
        <w:t>This means:</w:t>
      </w:r>
    </w:p>
    <w:p w14:paraId="197E8C8C" w14:textId="77777777" w:rsidR="006E7E70" w:rsidRPr="006E7E70" w:rsidRDefault="006E7E70" w:rsidP="006E7E70">
      <w:r w:rsidRPr="006E7E70">
        <w:rPr>
          <w:b/>
          <w:bCs/>
        </w:rPr>
        <w:t>107 of 128 tasks, or 83.59%, are routable across at least five of six destination environments.</w:t>
      </w:r>
    </w:p>
    <w:p w14:paraId="26E28504" w14:textId="77777777" w:rsidR="006E7E70" w:rsidRPr="006E7E70" w:rsidRDefault="006E7E70" w:rsidP="006E7E70">
      <w:r w:rsidRPr="006E7E70">
        <w:t>At a threshold of at least four:</w:t>
      </w:r>
    </w:p>
    <w:p w14:paraId="5B15C018" w14:textId="77777777" w:rsidR="006E7E70" w:rsidRPr="006E7E70" w:rsidRDefault="006E7E70" w:rsidP="006E7E70">
      <w:r w:rsidRPr="006E7E70">
        <w:rPr>
          <w:b/>
          <w:bCs/>
        </w:rPr>
        <w:t>126 of 128 tasks, or 98.44%, remain routable.</w:t>
      </w:r>
    </w:p>
    <w:p w14:paraId="6C774A28" w14:textId="77777777" w:rsidR="006E7E70" w:rsidRPr="006E7E70" w:rsidRDefault="006E7E70" w:rsidP="006E7E70">
      <w:r w:rsidRPr="006E7E70">
        <w:t>This reveals another property of the architecture.</w:t>
      </w:r>
    </w:p>
    <w:p w14:paraId="3764E0E2" w14:textId="77777777" w:rsidR="006E7E70" w:rsidRPr="006E7E70" w:rsidRDefault="006E7E70" w:rsidP="006E7E70">
      <w:r w:rsidRPr="006E7E70">
        <w:t>A substantial portion of the 128-task canonical evidence structure is not confined to a single destination framework.</w:t>
      </w:r>
    </w:p>
    <w:p w14:paraId="34141DC9" w14:textId="77777777" w:rsidR="006E7E70" w:rsidRPr="006E7E70" w:rsidRDefault="006E7E70" w:rsidP="006E7E70">
      <w:r w:rsidRPr="006E7E70">
        <w:t>The same upstream evidence-generating task may support several governed institutional relationships.</w:t>
      </w:r>
    </w:p>
    <w:p w14:paraId="02C78024" w14:textId="77777777" w:rsidR="006E7E70" w:rsidRPr="006E7E70" w:rsidRDefault="006E7E70" w:rsidP="006E7E70">
      <w:r w:rsidRPr="006E7E70">
        <w:t>This can be described as:</w:t>
      </w:r>
    </w:p>
    <w:p w14:paraId="3A8B8992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Cross-Framework Task Portability</w:t>
      </w:r>
    </w:p>
    <w:p w14:paraId="16296B21" w14:textId="77777777" w:rsidR="006E7E70" w:rsidRPr="006E7E70" w:rsidRDefault="006E7E70" w:rsidP="006E7E70">
      <w:r w:rsidRPr="006E7E70">
        <w:t xml:space="preserve">Task portability does not mean that the destination environments become </w:t>
      </w:r>
      <w:r w:rsidRPr="006E7E70">
        <w:lastRenderedPageBreak/>
        <w:t>equivalent.</w:t>
      </w:r>
    </w:p>
    <w:p w14:paraId="4DFF873C" w14:textId="77777777" w:rsidR="006E7E70" w:rsidRPr="006E7E70" w:rsidRDefault="006E7E70" w:rsidP="006E7E70">
      <w:r w:rsidRPr="006E7E70">
        <w:t>It measures how broadly the same canonical evidence position can participate across governed institutional routes.</w:t>
      </w:r>
    </w:p>
    <w:p w14:paraId="5EF3F61E" w14:textId="77777777" w:rsidR="006E7E70" w:rsidRPr="006E7E70" w:rsidRDefault="006E7E70" w:rsidP="006E7E70">
      <w:r w:rsidRPr="006E7E70">
        <w:t>See content credentials</w:t>
      </w:r>
    </w:p>
    <w:p w14:paraId="5035B743" w14:textId="573322C1" w:rsidR="006E7E70" w:rsidRPr="006E7E70" w:rsidRDefault="006E7E70" w:rsidP="006E7E70">
      <w:r w:rsidRPr="006E7E70">
        <w:lastRenderedPageBreak/>
        <w:drawing>
          <wp:inline distT="0" distB="0" distL="0" distR="0" wp14:anchorId="2D9A719E" wp14:editId="34525FD4">
            <wp:extent cx="5274310" cy="7911465"/>
            <wp:effectExtent l="0" t="0" r="2540" b="0"/>
            <wp:docPr id="1334208963" name="圖片 8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50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4616D" w14:textId="77777777" w:rsidR="006E7E70" w:rsidRPr="006E7E70" w:rsidRDefault="006E7E70" w:rsidP="006E7E70">
      <w:r w:rsidRPr="006E7E70">
        <w:t>A fixed ISSB and SASB anchor creates 768 comparable routing positions.</w:t>
      </w:r>
    </w:p>
    <w:p w14:paraId="03DA7582" w14:textId="77777777" w:rsidR="006E7E70" w:rsidRPr="006E7E70" w:rsidRDefault="006E7E70" w:rsidP="006E7E70">
      <w:r w:rsidRPr="006E7E70">
        <w:pict w14:anchorId="1905773E">
          <v:rect id="_x0000_i1130" style="width:486pt;height:.75pt" o:hrpct="0" o:hralign="center" o:hrstd="t" o:hr="t" fillcolor="#a0a0a0" stroked="f"/>
        </w:pict>
      </w:r>
    </w:p>
    <w:p w14:paraId="6EDAA6B5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lastRenderedPageBreak/>
        <w:t>Evidence Infrastructure Perspective</w:t>
      </w:r>
    </w:p>
    <w:p w14:paraId="553A6D95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The Remaining 90 Positions Are Part of the Measurement</w:t>
      </w:r>
    </w:p>
    <w:p w14:paraId="3D8AC279" w14:textId="77777777" w:rsidR="006E7E70" w:rsidRPr="006E7E70" w:rsidRDefault="006E7E70" w:rsidP="006E7E70">
      <w:r w:rsidRPr="006E7E70">
        <w:t>The corpus contains:</w:t>
      </w:r>
    </w:p>
    <w:p w14:paraId="0F537187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90 POSITIONS</w:t>
      </w:r>
    </w:p>
    <w:p w14:paraId="0F370C28" w14:textId="77777777" w:rsidR="006E7E70" w:rsidRPr="006E7E70" w:rsidRDefault="006E7E70" w:rsidP="006E7E70">
      <w:r w:rsidRPr="006E7E70">
        <w:t>where no default route is preserved.</w:t>
      </w:r>
    </w:p>
    <w:p w14:paraId="4DDA1247" w14:textId="77777777" w:rsidR="006E7E70" w:rsidRPr="006E7E70" w:rsidRDefault="006E7E70" w:rsidP="006E7E70">
      <w:r w:rsidRPr="006E7E70">
        <w:t xml:space="preserve">Evidence Infrastructure Analysis · 014 established the governance logic behind states such as </w:t>
      </w:r>
      <w:r w:rsidRPr="006E7E70">
        <w:rPr>
          <w:b/>
          <w:bCs/>
        </w:rPr>
        <w:t>NO-DEFAULT-ROUTE</w:t>
      </w:r>
      <w:r w:rsidRPr="006E7E70">
        <w:t>.</w:t>
      </w:r>
    </w:p>
    <w:p w14:paraId="41FC0D07" w14:textId="77777777" w:rsidR="006E7E70" w:rsidRPr="006E7E70" w:rsidRDefault="006E7E70" w:rsidP="006E7E70">
      <w:r w:rsidRPr="006E7E70">
        <w:t>EIS · 019 does not repeat that governance analysis.</w:t>
      </w:r>
    </w:p>
    <w:p w14:paraId="7D8C9A35" w14:textId="77777777" w:rsidR="006E7E70" w:rsidRPr="006E7E70" w:rsidRDefault="006E7E70" w:rsidP="006E7E70">
      <w:r w:rsidRPr="006E7E70">
        <w:t>Its significance here is methodological.</w:t>
      </w:r>
    </w:p>
    <w:p w14:paraId="1604ED33" w14:textId="77777777" w:rsidR="006E7E70" w:rsidRPr="006E7E70" w:rsidRDefault="006E7E70" w:rsidP="006E7E70">
      <w:r w:rsidRPr="006E7E70">
        <w:t>Those 90 positions remain inside the denominator.</w:t>
      </w:r>
    </w:p>
    <w:p w14:paraId="560C8070" w14:textId="77777777" w:rsidR="006E7E70" w:rsidRPr="006E7E70" w:rsidRDefault="006E7E70" w:rsidP="006E7E70">
      <w:r w:rsidRPr="006E7E70">
        <w:t>This prevents routability from being measured only through positive relationships.</w:t>
      </w:r>
    </w:p>
    <w:p w14:paraId="38A82A65" w14:textId="77777777" w:rsidR="006E7E70" w:rsidRPr="006E7E70" w:rsidRDefault="006E7E70" w:rsidP="006E7E70">
      <w:r w:rsidRPr="006E7E70">
        <w:t>If every canonical task were forced into every mapped environment, the result would be:</w:t>
      </w:r>
    </w:p>
    <w:p w14:paraId="266F3923" w14:textId="77777777" w:rsidR="006E7E70" w:rsidRPr="006E7E70" w:rsidRDefault="006E7E70" w:rsidP="006E7E70">
      <w:r w:rsidRPr="006E7E70">
        <w:rPr>
          <w:b/>
          <w:bCs/>
        </w:rPr>
        <w:t>768 / 768</w:t>
      </w:r>
    </w:p>
    <w:p w14:paraId="13EFC264" w14:textId="77777777" w:rsidR="006E7E70" w:rsidRPr="006E7E70" w:rsidRDefault="006E7E70" w:rsidP="006E7E70">
      <w:r w:rsidRPr="006E7E70">
        <w:rPr>
          <w:b/>
          <w:bCs/>
        </w:rPr>
        <w:t>100%</w:t>
      </w:r>
    </w:p>
    <w:p w14:paraId="70014586" w14:textId="77777777" w:rsidR="006E7E70" w:rsidRPr="006E7E70" w:rsidRDefault="006E7E70" w:rsidP="006E7E70">
      <w:r w:rsidRPr="006E7E70">
        <w:t>But that number would only have meaning if all 768 relationships were defensible.</w:t>
      </w:r>
    </w:p>
    <w:p w14:paraId="7BD525A7" w14:textId="77777777" w:rsidR="006E7E70" w:rsidRPr="006E7E70" w:rsidRDefault="006E7E70" w:rsidP="006E7E70">
      <w:r w:rsidRPr="006E7E70">
        <w:t>A higher percentage is therefore not automatically evidence of stronger interoperability.</w:t>
      </w:r>
    </w:p>
    <w:p w14:paraId="3B128129" w14:textId="77777777" w:rsidR="006E7E70" w:rsidRPr="006E7E70" w:rsidRDefault="006E7E70" w:rsidP="006E7E70">
      <w:r w:rsidRPr="006E7E70">
        <w:t>The relevant property is:</w:t>
      </w:r>
    </w:p>
    <w:p w14:paraId="4FF1E7B9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Governed Connectivity</w:t>
      </w:r>
    </w:p>
    <w:p w14:paraId="0E537848" w14:textId="77777777" w:rsidR="006E7E70" w:rsidRPr="006E7E70" w:rsidRDefault="006E7E70" w:rsidP="006E7E70">
      <w:r w:rsidRPr="006E7E70">
        <w:t>The architecture records both:</w:t>
      </w:r>
    </w:p>
    <w:p w14:paraId="333A0DFE" w14:textId="77777777" w:rsidR="006E7E70" w:rsidRPr="006E7E70" w:rsidRDefault="006E7E70" w:rsidP="006E7E70">
      <w:r w:rsidRPr="006E7E70">
        <w:rPr>
          <w:b/>
          <w:bCs/>
        </w:rPr>
        <w:t>where a relationship exists</w:t>
      </w:r>
    </w:p>
    <w:p w14:paraId="553786B7" w14:textId="77777777" w:rsidR="006E7E70" w:rsidRPr="006E7E70" w:rsidRDefault="006E7E70" w:rsidP="006E7E70">
      <w:r w:rsidRPr="006E7E70">
        <w:t>and</w:t>
      </w:r>
    </w:p>
    <w:p w14:paraId="4E37F239" w14:textId="77777777" w:rsidR="006E7E70" w:rsidRPr="006E7E70" w:rsidRDefault="006E7E70" w:rsidP="006E7E70">
      <w:r w:rsidRPr="006E7E70">
        <w:rPr>
          <w:b/>
          <w:bCs/>
        </w:rPr>
        <w:lastRenderedPageBreak/>
        <w:t>where one should not be created by default.</w:t>
      </w:r>
    </w:p>
    <w:p w14:paraId="53544315" w14:textId="77777777" w:rsidR="006E7E70" w:rsidRPr="006E7E70" w:rsidRDefault="006E7E70" w:rsidP="006E7E70">
      <w:r w:rsidRPr="006E7E70">
        <w:t>That is essential to interpreting the 88.28% result.</w:t>
      </w:r>
    </w:p>
    <w:p w14:paraId="629E5651" w14:textId="77777777" w:rsidR="006E7E70" w:rsidRPr="006E7E70" w:rsidRDefault="006E7E70" w:rsidP="006E7E70">
      <w:r w:rsidRPr="006E7E70">
        <w:t>See content credentials</w:t>
      </w:r>
    </w:p>
    <w:p w14:paraId="6F624B86" w14:textId="19418DE5" w:rsidR="006E7E70" w:rsidRPr="006E7E70" w:rsidRDefault="006E7E70" w:rsidP="006E7E70">
      <w:r w:rsidRPr="006E7E70">
        <w:lastRenderedPageBreak/>
        <w:drawing>
          <wp:inline distT="0" distB="0" distL="0" distR="0" wp14:anchorId="01BC4BE3" wp14:editId="2B9549EB">
            <wp:extent cx="5274310" cy="7911465"/>
            <wp:effectExtent l="0" t="0" r="2540" b="0"/>
            <wp:docPr id="95206745" name="圖片 7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73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83550" w14:textId="77777777" w:rsidR="006E7E70" w:rsidRPr="006E7E70" w:rsidRDefault="006E7E70" w:rsidP="006E7E70">
      <w:r w:rsidRPr="006E7E70">
        <w:t>Most canonical tasks remain portable across four or more environments.</w:t>
      </w:r>
    </w:p>
    <w:p w14:paraId="55220B9D" w14:textId="77777777" w:rsidR="006E7E70" w:rsidRPr="006E7E70" w:rsidRDefault="006E7E70" w:rsidP="006E7E70">
      <w:r w:rsidRPr="006E7E70">
        <w:pict w14:anchorId="2FB7E615">
          <v:rect id="_x0000_i1132" style="width:486pt;height:.75pt" o:hrpct="0" o:hralign="center" o:hrstd="t" o:hr="t" fillcolor="#a0a0a0" stroked="f"/>
        </w:pict>
      </w:r>
    </w:p>
    <w:p w14:paraId="16245FCD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lastRenderedPageBreak/>
        <w:t>Emerging Measurement Layer</w:t>
      </w:r>
    </w:p>
    <w:p w14:paraId="0C7C062E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From Relationship Governance to Distributional Interoperability</w:t>
      </w:r>
    </w:p>
    <w:p w14:paraId="0D05C9DD" w14:textId="77777777" w:rsidR="006E7E70" w:rsidRPr="006E7E70" w:rsidRDefault="006E7E70" w:rsidP="006E7E70">
      <w:r w:rsidRPr="006E7E70">
        <w:t>EIA · 014 established why interoperability cannot be treated as a binary relationship.</w:t>
      </w:r>
    </w:p>
    <w:p w14:paraId="321DCAC6" w14:textId="77777777" w:rsidR="006E7E70" w:rsidRPr="006E7E70" w:rsidRDefault="006E7E70" w:rsidP="006E7E70">
      <w:r w:rsidRPr="006E7E70">
        <w:t>Relationship type, strength, state and governance boundaries remain important.</w:t>
      </w:r>
    </w:p>
    <w:p w14:paraId="3BF8DD34" w14:textId="77777777" w:rsidR="006E7E70" w:rsidRPr="006E7E70" w:rsidRDefault="006E7E70" w:rsidP="006E7E70">
      <w:r w:rsidRPr="006E7E70">
        <w:t>EIS · 019 moves to a different analytical layer.</w:t>
      </w:r>
    </w:p>
    <w:p w14:paraId="554AF479" w14:textId="77777777" w:rsidR="006E7E70" w:rsidRPr="006E7E70" w:rsidRDefault="006E7E70" w:rsidP="006E7E70">
      <w:r w:rsidRPr="006E7E70">
        <w:t xml:space="preserve">Once those governed relationships are represented across a stable upstream population, their </w:t>
      </w:r>
      <w:r w:rsidRPr="006E7E70">
        <w:rPr>
          <w:b/>
          <w:bCs/>
        </w:rPr>
        <w:t>distribution</w:t>
      </w:r>
      <w:r w:rsidRPr="006E7E70">
        <w:t xml:space="preserve"> can be measured.</w:t>
      </w:r>
    </w:p>
    <w:p w14:paraId="3791A4F8" w14:textId="77777777" w:rsidR="006E7E70" w:rsidRPr="006E7E70" w:rsidRDefault="006E7E70" w:rsidP="006E7E70">
      <w:r w:rsidRPr="006E7E70">
        <w:t>This publication describes that layer as:</w:t>
      </w:r>
    </w:p>
    <w:p w14:paraId="69727DDB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Distributional Interoperability</w:t>
      </w:r>
    </w:p>
    <w:p w14:paraId="68532A80" w14:textId="77777777" w:rsidR="006E7E70" w:rsidRPr="006E7E70" w:rsidRDefault="006E7E70" w:rsidP="006E7E70">
      <w:r w:rsidRPr="006E7E70">
        <w:t xml:space="preserve">Distributional Interoperability examines how governed evidence relationships are distributed when a </w:t>
      </w:r>
      <w:r w:rsidRPr="006E7E70">
        <w:rPr>
          <w:b/>
          <w:bCs/>
        </w:rPr>
        <w:t>fixed upstream evidence architecture</w:t>
      </w:r>
      <w:r w:rsidRPr="006E7E70">
        <w:t xml:space="preserve"> is routed across multiple institutional environments.</w:t>
      </w:r>
    </w:p>
    <w:p w14:paraId="59925893" w14:textId="77777777" w:rsidR="006E7E70" w:rsidRPr="006E7E70" w:rsidRDefault="006E7E70" w:rsidP="006E7E70">
      <w:r w:rsidRPr="006E7E70">
        <w:t>In this analysis:</w:t>
      </w:r>
    </w:p>
    <w:p w14:paraId="5E5CE4B4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Fixed upstream architecture</w:t>
      </w:r>
    </w:p>
    <w:p w14:paraId="2CBEBD69" w14:textId="77777777" w:rsidR="006E7E70" w:rsidRPr="006E7E70" w:rsidRDefault="006E7E70" w:rsidP="006E7E70">
      <w:r w:rsidRPr="006E7E70">
        <w:rPr>
          <w:b/>
          <w:bCs/>
        </w:rPr>
        <w:t>IFRS ISSB + SASB anchored 128-task MME architecture</w:t>
      </w:r>
    </w:p>
    <w:p w14:paraId="2C752DD4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Variable institutional destinations</w:t>
      </w:r>
    </w:p>
    <w:p w14:paraId="266BD8D6" w14:textId="77777777" w:rsidR="006E7E70" w:rsidRPr="006E7E70" w:rsidRDefault="006E7E70" w:rsidP="006E7E70">
      <w:r w:rsidRPr="006E7E70">
        <w:rPr>
          <w:b/>
          <w:bCs/>
        </w:rPr>
        <w:t>GRI · ESRS · TNFD · COSO · GHG Protocol Scope 3 · UN SDGs</w:t>
      </w:r>
    </w:p>
    <w:p w14:paraId="126A53C6" w14:textId="77777777" w:rsidR="006E7E70" w:rsidRPr="006E7E70" w:rsidRDefault="006E7E70" w:rsidP="006E7E70">
      <w:r w:rsidRPr="006E7E70">
        <w:t>This structure enables questions that ordinary mapping counts cannot answer.</w:t>
      </w:r>
    </w:p>
    <w:p w14:paraId="141C9817" w14:textId="77777777" w:rsidR="006E7E70" w:rsidRPr="006E7E70" w:rsidRDefault="006E7E70" w:rsidP="006E7E70">
      <w:r w:rsidRPr="006E7E70">
        <w:t>Which canonical tasks travel most broadly?</w:t>
      </w:r>
    </w:p>
    <w:p w14:paraId="280376EF" w14:textId="77777777" w:rsidR="006E7E70" w:rsidRPr="006E7E70" w:rsidRDefault="006E7E70" w:rsidP="006E7E70">
      <w:r w:rsidRPr="006E7E70">
        <w:t>Which institutional destinations produce lower routing density?</w:t>
      </w:r>
    </w:p>
    <w:p w14:paraId="27F67ABA" w14:textId="77777777" w:rsidR="006E7E70" w:rsidRPr="006E7E70" w:rsidRDefault="006E7E70" w:rsidP="006E7E70">
      <w:r w:rsidRPr="006E7E70">
        <w:t>Where do non-routing positions cluster?</w:t>
      </w:r>
    </w:p>
    <w:p w14:paraId="35CF0B7C" w14:textId="77777777" w:rsidR="006E7E70" w:rsidRPr="006E7E70" w:rsidRDefault="006E7E70" w:rsidP="006E7E70">
      <w:r w:rsidRPr="006E7E70">
        <w:t>Which task categories repeatedly appear across different institutional environments?</w:t>
      </w:r>
    </w:p>
    <w:p w14:paraId="62F86CAF" w14:textId="77777777" w:rsidR="006E7E70" w:rsidRPr="006E7E70" w:rsidRDefault="006E7E70" w:rsidP="006E7E70">
      <w:r w:rsidRPr="006E7E70">
        <w:t>Where does portability weaken?</w:t>
      </w:r>
    </w:p>
    <w:p w14:paraId="6F6E7134" w14:textId="77777777" w:rsidR="006E7E70" w:rsidRPr="006E7E70" w:rsidRDefault="006E7E70" w:rsidP="006E7E70">
      <w:r w:rsidRPr="006E7E70">
        <w:lastRenderedPageBreak/>
        <w:t>And how do those distributions change when source frameworks or routing methodologies change?</w:t>
      </w:r>
    </w:p>
    <w:p w14:paraId="7AF9CCDA" w14:textId="77777777" w:rsidR="006E7E70" w:rsidRPr="006E7E70" w:rsidRDefault="006E7E70" w:rsidP="006E7E70">
      <w:r w:rsidRPr="006E7E70">
        <w:t>These are no longer simply mapping questions.</w:t>
      </w:r>
    </w:p>
    <w:p w14:paraId="5C34B5DD" w14:textId="77777777" w:rsidR="006E7E70" w:rsidRPr="006E7E70" w:rsidRDefault="006E7E70" w:rsidP="006E7E70">
      <w:r w:rsidRPr="006E7E70">
        <w:t>They are infrastructure measurement questions.</w:t>
      </w:r>
    </w:p>
    <w:p w14:paraId="6D31C410" w14:textId="77777777" w:rsidR="006E7E70" w:rsidRPr="006E7E70" w:rsidRDefault="006E7E70" w:rsidP="006E7E70">
      <w:r w:rsidRPr="006E7E70">
        <w:pict w14:anchorId="3D028A53">
          <v:rect id="_x0000_i1133" style="width:486pt;height:.75pt" o:hrpct="0" o:hralign="center" o:hrstd="t" o:hr="t" fillcolor="#a0a0a0" stroked="f"/>
        </w:pict>
      </w:r>
    </w:p>
    <w:p w14:paraId="293B7F6B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Why Maximum Routability Is Not the Objective</w:t>
      </w:r>
    </w:p>
    <w:p w14:paraId="6A93EB09" w14:textId="77777777" w:rsidR="006E7E70" w:rsidRPr="006E7E70" w:rsidRDefault="006E7E70" w:rsidP="006E7E70">
      <w:r w:rsidRPr="006E7E70">
        <w:t>The 88.28% result should not be interpreted as a target to increase automatically.</w:t>
      </w:r>
    </w:p>
    <w:p w14:paraId="47AC96D4" w14:textId="77777777" w:rsidR="006E7E70" w:rsidRPr="006E7E70" w:rsidRDefault="006E7E70" w:rsidP="006E7E70">
      <w:r w:rsidRPr="006E7E70">
        <w:t>A future corpus showing 95% or 100% routability would not necessarily be better.</w:t>
      </w:r>
    </w:p>
    <w:p w14:paraId="432325B2" w14:textId="77777777" w:rsidR="006E7E70" w:rsidRPr="006E7E70" w:rsidRDefault="006E7E70" w:rsidP="006E7E70">
      <w:r w:rsidRPr="006E7E70">
        <w:t>The correct question would be:</w:t>
      </w:r>
    </w:p>
    <w:p w14:paraId="3669FFF9" w14:textId="77777777" w:rsidR="006E7E70" w:rsidRPr="006E7E70" w:rsidRDefault="006E7E70" w:rsidP="006E7E70">
      <w:r w:rsidRPr="006E7E70">
        <w:rPr>
          <w:b/>
          <w:bCs/>
        </w:rPr>
        <w:t>Are the additional relationships defensible?</w:t>
      </w:r>
    </w:p>
    <w:p w14:paraId="1B8DB2ED" w14:textId="77777777" w:rsidR="006E7E70" w:rsidRPr="006E7E70" w:rsidRDefault="006E7E70" w:rsidP="006E7E70">
      <w:r w:rsidRPr="006E7E70">
        <w:t>A useful interoperability measure therefore needs to observe both:</w:t>
      </w:r>
    </w:p>
    <w:p w14:paraId="2615DBCE" w14:textId="77777777" w:rsidR="006E7E70" w:rsidRPr="006E7E70" w:rsidRDefault="006E7E70" w:rsidP="006E7E70">
      <w:r w:rsidRPr="006E7E70">
        <w:rPr>
          <w:b/>
          <w:bCs/>
        </w:rPr>
        <w:t>relationship presence</w:t>
      </w:r>
    </w:p>
    <w:p w14:paraId="2F9E4009" w14:textId="77777777" w:rsidR="006E7E70" w:rsidRPr="006E7E70" w:rsidRDefault="006E7E70" w:rsidP="006E7E70">
      <w:r w:rsidRPr="006E7E70">
        <w:t>and</w:t>
      </w:r>
    </w:p>
    <w:p w14:paraId="650B56B5" w14:textId="77777777" w:rsidR="006E7E70" w:rsidRPr="006E7E70" w:rsidRDefault="006E7E70" w:rsidP="006E7E70">
      <w:r w:rsidRPr="006E7E70">
        <w:rPr>
          <w:b/>
          <w:bCs/>
        </w:rPr>
        <w:t>relationship absence.</w:t>
      </w:r>
    </w:p>
    <w:p w14:paraId="7F0A5BDB" w14:textId="77777777" w:rsidR="006E7E70" w:rsidRPr="006E7E70" w:rsidRDefault="006E7E70" w:rsidP="006E7E70">
      <w:r w:rsidRPr="006E7E70">
        <w:t>This is particularly important because the six destination environments serve different institutional purposes.</w:t>
      </w:r>
    </w:p>
    <w:p w14:paraId="4B72D54C" w14:textId="77777777" w:rsidR="006E7E70" w:rsidRPr="006E7E70" w:rsidRDefault="006E7E70" w:rsidP="006E7E70">
      <w:r w:rsidRPr="006E7E70">
        <w:t>A canonical activity may be broadly relevant to GRI or ESRS while having no defensible default Scope 3 relationship.</w:t>
      </w:r>
    </w:p>
    <w:p w14:paraId="0F6D9E74" w14:textId="77777777" w:rsidR="006E7E70" w:rsidRPr="006E7E70" w:rsidRDefault="006E7E70" w:rsidP="006E7E70">
      <w:r w:rsidRPr="006E7E70">
        <w:t>That does not make the evidence architecture inconsistent.</w:t>
      </w:r>
    </w:p>
    <w:p w14:paraId="7B647372" w14:textId="77777777" w:rsidR="006E7E70" w:rsidRPr="006E7E70" w:rsidRDefault="006E7E70" w:rsidP="006E7E70">
      <w:r w:rsidRPr="006E7E70">
        <w:t>It reflects different destination logic.</w:t>
      </w:r>
    </w:p>
    <w:p w14:paraId="57ADDC2A" w14:textId="77777777" w:rsidR="006E7E70" w:rsidRPr="006E7E70" w:rsidRDefault="006E7E70" w:rsidP="006E7E70">
      <w:r w:rsidRPr="006E7E70">
        <w:t>Interoperability therefore should not be optimized toward maximum connection density.</w:t>
      </w:r>
    </w:p>
    <w:p w14:paraId="43E42BEC" w14:textId="77777777" w:rsidR="006E7E70" w:rsidRPr="006E7E70" w:rsidRDefault="006E7E70" w:rsidP="006E7E70">
      <w:r w:rsidRPr="006E7E70">
        <w:t>It should be optimized toward:</w:t>
      </w:r>
    </w:p>
    <w:p w14:paraId="2375CF75" w14:textId="77777777" w:rsidR="006E7E70" w:rsidRPr="006E7E70" w:rsidRDefault="006E7E70" w:rsidP="006E7E70">
      <w:r w:rsidRPr="006E7E70">
        <w:rPr>
          <w:b/>
          <w:bCs/>
        </w:rPr>
        <w:t>defensible relationship density.</w:t>
      </w:r>
    </w:p>
    <w:p w14:paraId="79A4835B" w14:textId="77777777" w:rsidR="006E7E70" w:rsidRPr="006E7E70" w:rsidRDefault="006E7E70" w:rsidP="006E7E70">
      <w:r w:rsidRPr="006E7E70">
        <w:pict w14:anchorId="258162B4">
          <v:rect id="_x0000_i1134" style="width:486pt;height:.75pt" o:hrpct="0" o:hralign="center" o:hrstd="t" o:hr="t" fillcolor="#a0a0a0" stroked="f"/>
        </w:pict>
      </w:r>
    </w:p>
    <w:p w14:paraId="375041AE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lastRenderedPageBreak/>
        <w:t>The Next Research Question</w:t>
      </w:r>
    </w:p>
    <w:p w14:paraId="1CF4815C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Framework Routability Is Not ESG Activity Coverage</w:t>
      </w:r>
    </w:p>
    <w:p w14:paraId="6B137565" w14:textId="77777777" w:rsidR="006E7E70" w:rsidRPr="006E7E70" w:rsidRDefault="006E7E70" w:rsidP="006E7E70">
      <w:r w:rsidRPr="006E7E70">
        <w:t>An important boundary remains.</w:t>
      </w:r>
    </w:p>
    <w:p w14:paraId="648B8EC3" w14:textId="77777777" w:rsidR="006E7E70" w:rsidRPr="006E7E70" w:rsidRDefault="006E7E70" w:rsidP="006E7E70">
      <w:r w:rsidRPr="006E7E70">
        <w:t>The denominator in EIS · 019 is:</w:t>
      </w:r>
    </w:p>
    <w:p w14:paraId="58F0BE68" w14:textId="77777777" w:rsidR="006E7E70" w:rsidRPr="006E7E70" w:rsidRDefault="006E7E70" w:rsidP="006E7E70">
      <w:r w:rsidRPr="006E7E70">
        <w:rPr>
          <w:b/>
          <w:bCs/>
        </w:rPr>
        <w:t>128 canonical MME tasks × six mapped destination environments</w:t>
      </w:r>
    </w:p>
    <w:p w14:paraId="26C58761" w14:textId="77777777" w:rsidR="006E7E70" w:rsidRPr="006E7E70" w:rsidRDefault="006E7E70" w:rsidP="006E7E70">
      <w:r w:rsidRPr="006E7E70">
        <w:t>It is not:</w:t>
      </w:r>
    </w:p>
    <w:p w14:paraId="02E767CA" w14:textId="77777777" w:rsidR="006E7E70" w:rsidRPr="006E7E70" w:rsidRDefault="006E7E70" w:rsidP="006E7E70">
      <w:r w:rsidRPr="006E7E70">
        <w:rPr>
          <w:b/>
          <w:bCs/>
        </w:rPr>
        <w:t>the universe of human or institutional ESG activity.</w:t>
      </w:r>
    </w:p>
    <w:p w14:paraId="028551CE" w14:textId="77777777" w:rsidR="006E7E70" w:rsidRPr="006E7E70" w:rsidRDefault="006E7E70" w:rsidP="006E7E70">
      <w:r w:rsidRPr="006E7E70">
        <w:t>Therefore:</w:t>
      </w:r>
    </w:p>
    <w:p w14:paraId="4F9FFFC3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88.28% ROUTABILITY</w:t>
      </w:r>
    </w:p>
    <w:p w14:paraId="4823C7F5" w14:textId="77777777" w:rsidR="006E7E70" w:rsidRPr="006E7E70" w:rsidRDefault="006E7E70" w:rsidP="006E7E70">
      <w:r w:rsidRPr="006E7E70">
        <w:t>does not mean:</w:t>
      </w:r>
    </w:p>
    <w:p w14:paraId="1FBAD853" w14:textId="77777777" w:rsidR="006E7E70" w:rsidRPr="006E7E70" w:rsidRDefault="006E7E70" w:rsidP="006E7E70">
      <w:r w:rsidRPr="006E7E70">
        <w:t>88.28% of global ESG activity is covered,</w:t>
      </w:r>
    </w:p>
    <w:p w14:paraId="5E09A538" w14:textId="77777777" w:rsidR="006E7E70" w:rsidRPr="006E7E70" w:rsidRDefault="006E7E70" w:rsidP="006E7E70">
      <w:r w:rsidRPr="006E7E70">
        <w:t>88.28% of sustainability requirements are equivalent,</w:t>
      </w:r>
    </w:p>
    <w:p w14:paraId="3314309C" w14:textId="77777777" w:rsidR="006E7E70" w:rsidRPr="006E7E70" w:rsidRDefault="006E7E70" w:rsidP="006E7E70">
      <w:r w:rsidRPr="006E7E70">
        <w:t>88.28% of disclosures can be satisfied with identical evidence,</w:t>
      </w:r>
    </w:p>
    <w:p w14:paraId="28998D4A" w14:textId="77777777" w:rsidR="006E7E70" w:rsidRPr="006E7E70" w:rsidRDefault="006E7E70" w:rsidP="006E7E70">
      <w:r w:rsidRPr="006E7E70">
        <w:t>or an enterprise becomes 88.28% compliant.</w:t>
      </w:r>
    </w:p>
    <w:p w14:paraId="25CE27B3" w14:textId="77777777" w:rsidR="006E7E70" w:rsidRPr="006E7E70" w:rsidRDefault="006E7E70" w:rsidP="006E7E70">
      <w:r w:rsidRPr="006E7E70">
        <w:t>A separate benchmark is required to answer the larger activity-coverage question.</w:t>
      </w:r>
    </w:p>
    <w:p w14:paraId="70D5D35E" w14:textId="77777777" w:rsidR="006E7E70" w:rsidRPr="006E7E70" w:rsidRDefault="006E7E70" w:rsidP="006E7E70">
      <w:r w:rsidRPr="006E7E70">
        <w:t>That future research layer could construct an independent universe of recurring ESG activities and test whether each activity can be represented through the canonical architecture as:</w:t>
      </w:r>
    </w:p>
    <w:p w14:paraId="561AB914" w14:textId="77777777" w:rsidR="006E7E70" w:rsidRPr="006E7E70" w:rsidRDefault="006E7E70" w:rsidP="006E7E70">
      <w:r w:rsidRPr="006E7E70">
        <w:rPr>
          <w:b/>
          <w:bCs/>
        </w:rPr>
        <w:t>Direct Coverage</w:t>
      </w:r>
    </w:p>
    <w:p w14:paraId="5A3B1EE3" w14:textId="77777777" w:rsidR="006E7E70" w:rsidRPr="006E7E70" w:rsidRDefault="006E7E70" w:rsidP="006E7E70">
      <w:r w:rsidRPr="006E7E70">
        <w:rPr>
          <w:b/>
          <w:bCs/>
        </w:rPr>
        <w:t>Composite Coverage</w:t>
      </w:r>
    </w:p>
    <w:p w14:paraId="291CD683" w14:textId="77777777" w:rsidR="006E7E70" w:rsidRPr="006E7E70" w:rsidRDefault="006E7E70" w:rsidP="006E7E70">
      <w:r w:rsidRPr="006E7E70">
        <w:t>or</w:t>
      </w:r>
    </w:p>
    <w:p w14:paraId="525E3695" w14:textId="77777777" w:rsidR="006E7E70" w:rsidRPr="006E7E70" w:rsidRDefault="006E7E70" w:rsidP="006E7E70">
      <w:r w:rsidRPr="006E7E70">
        <w:rPr>
          <w:b/>
          <w:bCs/>
        </w:rPr>
        <w:t>Gap</w:t>
      </w:r>
    </w:p>
    <w:p w14:paraId="0360C78D" w14:textId="77777777" w:rsidR="006E7E70" w:rsidRPr="006E7E70" w:rsidRDefault="006E7E70" w:rsidP="006E7E70">
      <w:r w:rsidRPr="006E7E70">
        <w:t>Only then could another question be tested:</w:t>
      </w:r>
    </w:p>
    <w:p w14:paraId="32D42266" w14:textId="77777777" w:rsidR="006E7E70" w:rsidRPr="006E7E70" w:rsidRDefault="006E7E70" w:rsidP="006E7E70">
      <w:r w:rsidRPr="006E7E70">
        <w:rPr>
          <w:b/>
          <w:bCs/>
        </w:rPr>
        <w:t xml:space="preserve">Can a finite canonical evidence architecture represent most recurring ESG </w:t>
      </w:r>
      <w:r w:rsidRPr="006E7E70">
        <w:rPr>
          <w:b/>
          <w:bCs/>
        </w:rPr>
        <w:lastRenderedPageBreak/>
        <w:t>activity without continually creating new task identities?</w:t>
      </w:r>
    </w:p>
    <w:p w14:paraId="0F38630C" w14:textId="77777777" w:rsidR="006E7E70" w:rsidRPr="006E7E70" w:rsidRDefault="006E7E70" w:rsidP="006E7E70">
      <w:r w:rsidRPr="006E7E70">
        <w:t>The six-guide corpus does not establish that result.</w:t>
      </w:r>
    </w:p>
    <w:p w14:paraId="013C7B7C" w14:textId="77777777" w:rsidR="006E7E70" w:rsidRPr="006E7E70" w:rsidRDefault="006E7E70" w:rsidP="006E7E70">
      <w:r w:rsidRPr="006E7E70">
        <w:t>It creates a measurable basis from which the question can now be investigated.</w:t>
      </w:r>
    </w:p>
    <w:p w14:paraId="0859F966" w14:textId="77777777" w:rsidR="006E7E70" w:rsidRPr="006E7E70" w:rsidRDefault="006E7E70" w:rsidP="006E7E70">
      <w:r w:rsidRPr="006E7E70">
        <w:pict w14:anchorId="6FB450FB">
          <v:rect id="_x0000_i1135" style="width:486pt;height:.75pt" o:hrpct="0" o:hralign="center" o:hrstd="t" o:hr="t" fillcolor="#a0a0a0" stroked="f"/>
        </w:pict>
      </w:r>
    </w:p>
    <w:p w14:paraId="7EC17E1E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Closing Signal</w:t>
      </w:r>
    </w:p>
    <w:p w14:paraId="601035DA" w14:textId="77777777" w:rsidR="006E7E70" w:rsidRPr="006E7E70" w:rsidRDefault="006E7E70" w:rsidP="006E7E70">
      <w:r w:rsidRPr="006E7E70">
        <w:t>The most visible number in this Signal is:</w:t>
      </w:r>
    </w:p>
    <w:p w14:paraId="68EED278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88.28%</w:t>
      </w:r>
    </w:p>
    <w:p w14:paraId="2D0D437A" w14:textId="77777777" w:rsidR="006E7E70" w:rsidRPr="006E7E70" w:rsidRDefault="006E7E70" w:rsidP="006E7E70">
      <w:r w:rsidRPr="006E7E70">
        <w:t>But the more important development is architectural.</w:t>
      </w:r>
    </w:p>
    <w:p w14:paraId="70E258CA" w14:textId="77777777" w:rsidR="006E7E70" w:rsidRPr="006E7E70" w:rsidRDefault="006E7E70" w:rsidP="006E7E70">
      <w:r w:rsidRPr="006E7E70">
        <w:t>A stable upstream evidence architecture now exists across six mapped destination environments.</w:t>
      </w:r>
    </w:p>
    <w:p w14:paraId="36752370" w14:textId="77777777" w:rsidR="006E7E70" w:rsidRPr="006E7E70" w:rsidRDefault="006E7E70" w:rsidP="006E7E70">
      <w:r w:rsidRPr="006E7E70">
        <w:t>The same:</w:t>
      </w:r>
    </w:p>
    <w:p w14:paraId="46DD4273" w14:textId="77777777" w:rsidR="006E7E70" w:rsidRPr="006E7E70" w:rsidRDefault="006E7E70" w:rsidP="006E7E70">
      <w:r w:rsidRPr="006E7E70">
        <w:rPr>
          <w:b/>
          <w:bCs/>
        </w:rPr>
        <w:t>128 canonical MME task positions, anchored in IFRS ISSB + SASB</w:t>
      </w:r>
    </w:p>
    <w:p w14:paraId="314B098C" w14:textId="77777777" w:rsidR="006E7E70" w:rsidRPr="006E7E70" w:rsidRDefault="006E7E70" w:rsidP="006E7E70">
      <w:r w:rsidRPr="006E7E70">
        <w:t>can therefore be observed repeatedly without changing the underlying evidence population.</w:t>
      </w:r>
    </w:p>
    <w:p w14:paraId="26BA1C8C" w14:textId="77777777" w:rsidR="006E7E70" w:rsidRPr="006E7E70" w:rsidRDefault="006E7E70" w:rsidP="006E7E70">
      <w:r w:rsidRPr="006E7E70">
        <w:t>Across:</w:t>
      </w:r>
    </w:p>
    <w:p w14:paraId="4CE5F4C9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768 ROUTING POSITIONS</w:t>
      </w:r>
    </w:p>
    <w:p w14:paraId="2CEC9943" w14:textId="77777777" w:rsidR="006E7E70" w:rsidRPr="006E7E70" w:rsidRDefault="006E7E70" w:rsidP="006E7E70">
      <w:r w:rsidRPr="006E7E70">
        <w:rPr>
          <w:b/>
          <w:bCs/>
        </w:rPr>
        <w:t>678 contain governed routes.</w:t>
      </w:r>
    </w:p>
    <w:p w14:paraId="0BC07BCE" w14:textId="77777777" w:rsidR="006E7E70" w:rsidRPr="006E7E70" w:rsidRDefault="006E7E70" w:rsidP="006E7E70">
      <w:r w:rsidRPr="006E7E70">
        <w:t>Across:</w:t>
      </w:r>
    </w:p>
    <w:p w14:paraId="725A46DB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128 CANONICAL TASKS</w:t>
      </w:r>
    </w:p>
    <w:p w14:paraId="0C5D222B" w14:textId="77777777" w:rsidR="006E7E70" w:rsidRPr="006E7E70" w:rsidRDefault="006E7E70" w:rsidP="006E7E70">
      <w:r w:rsidRPr="006E7E70">
        <w:rPr>
          <w:b/>
          <w:bCs/>
        </w:rPr>
        <w:t>83.59% are routable across at least five of six mapped environments.</w:t>
      </w:r>
    </w:p>
    <w:p w14:paraId="6BF48098" w14:textId="77777777" w:rsidR="006E7E70" w:rsidRPr="006E7E70" w:rsidRDefault="006E7E70" w:rsidP="006E7E70">
      <w:r w:rsidRPr="006E7E70">
        <w:t>At the same time:</w:t>
      </w:r>
    </w:p>
    <w:p w14:paraId="1DF6312B" w14:textId="77777777" w:rsidR="006E7E70" w:rsidRPr="006E7E70" w:rsidRDefault="006E7E70" w:rsidP="006E7E70">
      <w:r w:rsidRPr="006E7E70">
        <w:rPr>
          <w:b/>
          <w:bCs/>
        </w:rPr>
        <w:t>90 positions preserve the absence of a default route.</w:t>
      </w:r>
    </w:p>
    <w:p w14:paraId="08C91278" w14:textId="77777777" w:rsidR="006E7E70" w:rsidRPr="006E7E70" w:rsidRDefault="006E7E70" w:rsidP="006E7E70">
      <w:r w:rsidRPr="006E7E70">
        <w:t>Together, these results create something more useful than a large mapping count.</w:t>
      </w:r>
    </w:p>
    <w:p w14:paraId="24D642E3" w14:textId="77777777" w:rsidR="006E7E70" w:rsidRPr="006E7E70" w:rsidRDefault="006E7E70" w:rsidP="006E7E70">
      <w:r w:rsidRPr="006E7E70">
        <w:t>They create an observable relationship distribution.</w:t>
      </w:r>
    </w:p>
    <w:p w14:paraId="4AD0C845" w14:textId="77777777" w:rsidR="006E7E70" w:rsidRPr="006E7E70" w:rsidRDefault="006E7E70" w:rsidP="006E7E70">
      <w:r w:rsidRPr="006E7E70">
        <w:lastRenderedPageBreak/>
        <w:t>The signal is therefore not:</w:t>
      </w:r>
    </w:p>
    <w:p w14:paraId="469FD5AF" w14:textId="77777777" w:rsidR="006E7E70" w:rsidRPr="006E7E70" w:rsidRDefault="006E7E70" w:rsidP="006E7E70">
      <w:r w:rsidRPr="006E7E70">
        <w:rPr>
          <w:b/>
          <w:bCs/>
        </w:rPr>
        <w:t>Interoperability reached 88.28%.</w:t>
      </w:r>
    </w:p>
    <w:p w14:paraId="7CD57383" w14:textId="77777777" w:rsidR="006E7E70" w:rsidRPr="006E7E70" w:rsidRDefault="006E7E70" w:rsidP="006E7E70">
      <w:r w:rsidRPr="006E7E70">
        <w:t>It is:</w:t>
      </w:r>
    </w:p>
    <w:p w14:paraId="23BD59BC" w14:textId="77777777" w:rsidR="006E7E70" w:rsidRPr="006E7E70" w:rsidRDefault="006E7E70" w:rsidP="006E7E70">
      <w:r w:rsidRPr="006E7E70">
        <w:rPr>
          <w:b/>
          <w:bCs/>
        </w:rPr>
        <w:t>Interoperability has become observable.</w:t>
      </w:r>
    </w:p>
    <w:p w14:paraId="32283F90" w14:textId="77777777" w:rsidR="006E7E70" w:rsidRPr="006E7E70" w:rsidRDefault="006E7E70" w:rsidP="006E7E70">
      <w:r w:rsidRPr="006E7E70">
        <w:t>And once interoperability becomes observable against a stable evidence architecture, it can begin to be:</w:t>
      </w:r>
    </w:p>
    <w:p w14:paraId="4D1B4EFA" w14:textId="77777777" w:rsidR="006E7E70" w:rsidRPr="006E7E70" w:rsidRDefault="006E7E70" w:rsidP="006E7E70">
      <w:r w:rsidRPr="006E7E70">
        <w:rPr>
          <w:b/>
          <w:bCs/>
        </w:rPr>
        <w:t>compared,</w:t>
      </w:r>
    </w:p>
    <w:p w14:paraId="2BB1BA98" w14:textId="77777777" w:rsidR="006E7E70" w:rsidRPr="006E7E70" w:rsidRDefault="006E7E70" w:rsidP="006E7E70">
      <w:r w:rsidRPr="006E7E70">
        <w:rPr>
          <w:b/>
          <w:bCs/>
        </w:rPr>
        <w:t>tested,</w:t>
      </w:r>
    </w:p>
    <w:p w14:paraId="5C5010AA" w14:textId="77777777" w:rsidR="006E7E70" w:rsidRPr="006E7E70" w:rsidRDefault="006E7E70" w:rsidP="006E7E70">
      <w:r w:rsidRPr="006E7E70">
        <w:rPr>
          <w:b/>
          <w:bCs/>
        </w:rPr>
        <w:t>tracked,</w:t>
      </w:r>
    </w:p>
    <w:p w14:paraId="069C337C" w14:textId="77777777" w:rsidR="006E7E70" w:rsidRPr="006E7E70" w:rsidRDefault="006E7E70" w:rsidP="006E7E70">
      <w:r w:rsidRPr="006E7E70">
        <w:t>and</w:t>
      </w:r>
    </w:p>
    <w:p w14:paraId="316FDAD7" w14:textId="77777777" w:rsidR="006E7E70" w:rsidRPr="006E7E70" w:rsidRDefault="006E7E70" w:rsidP="006E7E70">
      <w:r w:rsidRPr="006E7E70">
        <w:rPr>
          <w:b/>
          <w:bCs/>
        </w:rPr>
        <w:t>governed</w:t>
      </w:r>
    </w:p>
    <w:p w14:paraId="2B2B25D3" w14:textId="77777777" w:rsidR="006E7E70" w:rsidRPr="006E7E70" w:rsidRDefault="006E7E70" w:rsidP="006E7E70">
      <w:r w:rsidRPr="006E7E70">
        <w:t>as an infrastructure property.</w:t>
      </w:r>
    </w:p>
    <w:p w14:paraId="3156E093" w14:textId="77777777" w:rsidR="006E7E70" w:rsidRPr="006E7E70" w:rsidRDefault="006E7E70" w:rsidP="006E7E70">
      <w:r w:rsidRPr="006E7E70">
        <w:pict w14:anchorId="739392DC">
          <v:rect id="_x0000_i1136" style="width:486pt;height:.75pt" o:hrpct="0" o:hralign="center" o:hrstd="t" o:hr="t" fillcolor="#a0a0a0" stroked="f"/>
        </w:pict>
      </w:r>
    </w:p>
    <w:p w14:paraId="6CF247D5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Methodological Boundary</w:t>
      </w:r>
    </w:p>
    <w:p w14:paraId="25BAADD1" w14:textId="77777777" w:rsidR="006E7E70" w:rsidRPr="006E7E70" w:rsidRDefault="006E7E70" w:rsidP="006E7E70">
      <w:r w:rsidRPr="006E7E70">
        <w:t xml:space="preserve">This Signal is a </w:t>
      </w:r>
      <w:r w:rsidRPr="006E7E70">
        <w:rPr>
          <w:b/>
          <w:bCs/>
        </w:rPr>
        <w:t xml:space="preserve">full-census analysis of </w:t>
      </w:r>
      <w:hyperlink r:id="rId9" w:tgtFrame="_self" w:history="1">
        <w:r w:rsidRPr="006E7E70">
          <w:rPr>
            <w:rStyle w:val="ae"/>
            <w:b/>
            <w:bCs/>
          </w:rPr>
          <w:t>EMJ.LIFE</w:t>
        </w:r>
      </w:hyperlink>
      <w:r w:rsidRPr="006E7E70">
        <w:rPr>
          <w:b/>
          <w:bCs/>
        </w:rPr>
        <w:t>'s own published canonical mapping corpus</w:t>
      </w:r>
      <w:r w:rsidRPr="006E7E70">
        <w:t>.</w:t>
      </w:r>
    </w:p>
    <w:p w14:paraId="05AAF316" w14:textId="77777777" w:rsidR="006E7E70" w:rsidRPr="006E7E70" w:rsidRDefault="006E7E70" w:rsidP="006E7E70">
      <w:r w:rsidRPr="006E7E70">
        <w:t>It is not an independent third-party benchmark.</w:t>
      </w:r>
    </w:p>
    <w:p w14:paraId="0A3C4366" w14:textId="77777777" w:rsidR="006E7E70" w:rsidRPr="006E7E70" w:rsidRDefault="006E7E70" w:rsidP="006E7E70">
      <w:r w:rsidRPr="006E7E70">
        <w:t xml:space="preserve">The upstream evidence architecture is the </w:t>
      </w:r>
      <w:r w:rsidRPr="006E7E70">
        <w:rPr>
          <w:b/>
          <w:bCs/>
        </w:rPr>
        <w:t>128-task MME structure anchored in IFRS ISSB + SASB</w:t>
      </w:r>
      <w:r w:rsidRPr="006E7E70">
        <w:t>.</w:t>
      </w:r>
    </w:p>
    <w:p w14:paraId="44F26091" w14:textId="77777777" w:rsidR="006E7E70" w:rsidRPr="006E7E70" w:rsidRDefault="006E7E70" w:rsidP="006E7E70">
      <w:r w:rsidRPr="006E7E70">
        <w:t>The comparative population consists of six mapped destination environments:</w:t>
      </w:r>
    </w:p>
    <w:p w14:paraId="216F8394" w14:textId="77777777" w:rsidR="006E7E70" w:rsidRPr="006E7E70" w:rsidRDefault="006E7E70" w:rsidP="006E7E70">
      <w:r w:rsidRPr="006E7E70">
        <w:rPr>
          <w:b/>
          <w:bCs/>
        </w:rPr>
        <w:t>GRI</w:t>
      </w:r>
    </w:p>
    <w:p w14:paraId="4E1783A1" w14:textId="77777777" w:rsidR="006E7E70" w:rsidRPr="006E7E70" w:rsidRDefault="006E7E70" w:rsidP="006E7E70">
      <w:r w:rsidRPr="006E7E70">
        <w:rPr>
          <w:b/>
          <w:bCs/>
        </w:rPr>
        <w:t>ESRS</w:t>
      </w:r>
    </w:p>
    <w:p w14:paraId="7721A089" w14:textId="77777777" w:rsidR="006E7E70" w:rsidRPr="006E7E70" w:rsidRDefault="006E7E70" w:rsidP="006E7E70">
      <w:r w:rsidRPr="006E7E70">
        <w:rPr>
          <w:b/>
          <w:bCs/>
        </w:rPr>
        <w:t>TNFD</w:t>
      </w:r>
    </w:p>
    <w:p w14:paraId="60189AEF" w14:textId="77777777" w:rsidR="006E7E70" w:rsidRPr="006E7E70" w:rsidRDefault="006E7E70" w:rsidP="006E7E70">
      <w:r w:rsidRPr="006E7E70">
        <w:rPr>
          <w:b/>
          <w:bCs/>
        </w:rPr>
        <w:t>COSO</w:t>
      </w:r>
    </w:p>
    <w:p w14:paraId="2AFCA3B5" w14:textId="77777777" w:rsidR="006E7E70" w:rsidRPr="006E7E70" w:rsidRDefault="006E7E70" w:rsidP="006E7E70">
      <w:r w:rsidRPr="006E7E70">
        <w:rPr>
          <w:b/>
          <w:bCs/>
        </w:rPr>
        <w:t>GHG Protocol Scope 3</w:t>
      </w:r>
    </w:p>
    <w:p w14:paraId="39212B46" w14:textId="77777777" w:rsidR="006E7E70" w:rsidRPr="006E7E70" w:rsidRDefault="006E7E70" w:rsidP="006E7E70">
      <w:r w:rsidRPr="006E7E70">
        <w:lastRenderedPageBreak/>
        <w:t xml:space="preserve">and the </w:t>
      </w:r>
      <w:r w:rsidRPr="006E7E70">
        <w:rPr>
          <w:b/>
          <w:bCs/>
        </w:rPr>
        <w:t>United Nations Sustainable Development Goals.</w:t>
      </w:r>
    </w:p>
    <w:p w14:paraId="4885F213" w14:textId="77777777" w:rsidR="006E7E70" w:rsidRPr="006E7E70" w:rsidRDefault="006E7E70" w:rsidP="006E7E70">
      <w:r w:rsidRPr="006E7E70">
        <w:t>The measured population is therefore:</w:t>
      </w:r>
    </w:p>
    <w:p w14:paraId="55A48DFB" w14:textId="77777777" w:rsidR="006E7E70" w:rsidRPr="006E7E70" w:rsidRDefault="006E7E70" w:rsidP="006E7E70">
      <w:r w:rsidRPr="006E7E70">
        <w:rPr>
          <w:b/>
          <w:bCs/>
        </w:rPr>
        <w:t>128 canonical tasks × six mapped destination environments = 768 routing positions</w:t>
      </w:r>
    </w:p>
    <w:p w14:paraId="24E7B02D" w14:textId="77777777" w:rsidR="006E7E70" w:rsidRPr="006E7E70" w:rsidRDefault="006E7E70" w:rsidP="006E7E70">
      <w:r w:rsidRPr="006E7E70">
        <w:t>The analysis measures:</w:t>
      </w:r>
    </w:p>
    <w:p w14:paraId="675E6797" w14:textId="77777777" w:rsidR="006E7E70" w:rsidRPr="006E7E70" w:rsidRDefault="006E7E70" w:rsidP="006E7E70">
      <w:r w:rsidRPr="006E7E70">
        <w:rPr>
          <w:b/>
          <w:bCs/>
        </w:rPr>
        <w:t>cross-framework routability density</w:t>
      </w:r>
    </w:p>
    <w:p w14:paraId="2BB9035E" w14:textId="77777777" w:rsidR="006E7E70" w:rsidRPr="006E7E70" w:rsidRDefault="006E7E70" w:rsidP="006E7E70">
      <w:r w:rsidRPr="006E7E70">
        <w:t>and</w:t>
      </w:r>
    </w:p>
    <w:p w14:paraId="73C2FC1F" w14:textId="77777777" w:rsidR="006E7E70" w:rsidRPr="006E7E70" w:rsidRDefault="006E7E70" w:rsidP="006E7E70">
      <w:r w:rsidRPr="006E7E70">
        <w:rPr>
          <w:b/>
          <w:bCs/>
        </w:rPr>
        <w:t>cross-framework task portability</w:t>
      </w:r>
    </w:p>
    <w:p w14:paraId="1A4F1C56" w14:textId="77777777" w:rsidR="006E7E70" w:rsidRPr="006E7E70" w:rsidRDefault="006E7E70" w:rsidP="006E7E70">
      <w:r w:rsidRPr="006E7E70">
        <w:t>within that defined population.</w:t>
      </w:r>
    </w:p>
    <w:p w14:paraId="67FED872" w14:textId="77777777" w:rsidR="006E7E70" w:rsidRPr="006E7E70" w:rsidRDefault="006E7E70" w:rsidP="006E7E70">
      <w:r w:rsidRPr="006E7E70">
        <w:t>It does not establish:</w:t>
      </w:r>
    </w:p>
    <w:p w14:paraId="36C27903" w14:textId="77777777" w:rsidR="006E7E70" w:rsidRPr="006E7E70" w:rsidRDefault="006E7E70" w:rsidP="006E7E70">
      <w:r w:rsidRPr="006E7E70">
        <w:t>regulatory equivalence,</w:t>
      </w:r>
    </w:p>
    <w:p w14:paraId="5DA93BA2" w14:textId="77777777" w:rsidR="006E7E70" w:rsidRPr="006E7E70" w:rsidRDefault="006E7E70" w:rsidP="006E7E70">
      <w:r w:rsidRPr="006E7E70">
        <w:t>compliance,</w:t>
      </w:r>
    </w:p>
    <w:p w14:paraId="4061A3FF" w14:textId="77777777" w:rsidR="006E7E70" w:rsidRPr="006E7E70" w:rsidRDefault="006E7E70" w:rsidP="006E7E70">
      <w:r w:rsidRPr="006E7E70">
        <w:t>materiality,</w:t>
      </w:r>
    </w:p>
    <w:p w14:paraId="7CDD47EC" w14:textId="77777777" w:rsidR="006E7E70" w:rsidRPr="006E7E70" w:rsidRDefault="006E7E70" w:rsidP="006E7E70">
      <w:r w:rsidRPr="006E7E70">
        <w:t>assurance readiness,</w:t>
      </w:r>
    </w:p>
    <w:p w14:paraId="501D2437" w14:textId="77777777" w:rsidR="006E7E70" w:rsidRPr="006E7E70" w:rsidRDefault="006E7E70" w:rsidP="006E7E70">
      <w:r w:rsidRPr="006E7E70">
        <w:t>disclosure completeness,</w:t>
      </w:r>
    </w:p>
    <w:p w14:paraId="09033903" w14:textId="77777777" w:rsidR="006E7E70" w:rsidRPr="006E7E70" w:rsidRDefault="006E7E70" w:rsidP="006E7E70">
      <w:r w:rsidRPr="006E7E70">
        <w:t>institutional endorsement,</w:t>
      </w:r>
    </w:p>
    <w:p w14:paraId="5BAED233" w14:textId="77777777" w:rsidR="006E7E70" w:rsidRPr="006E7E70" w:rsidRDefault="006E7E70" w:rsidP="006E7E70">
      <w:r w:rsidRPr="006E7E70">
        <w:t>or coverage of the global ESG activity universe.</w:t>
      </w:r>
    </w:p>
    <w:p w14:paraId="5CC2CB83" w14:textId="77777777" w:rsidR="006E7E70" w:rsidRPr="006E7E70" w:rsidRDefault="006E7E70" w:rsidP="006E7E70">
      <w:r w:rsidRPr="006E7E70">
        <w:pict w14:anchorId="7F75EE7D">
          <v:rect id="_x0000_i1137" style="width:486pt;height:.75pt" o:hrpct="0" o:hralign="center" o:hrstd="t" o:hr="t" fillcolor="#a0a0a0" stroked="f"/>
        </w:pict>
      </w:r>
    </w:p>
    <w:p w14:paraId="38064A64" w14:textId="77777777" w:rsidR="006E7E70" w:rsidRPr="006E7E70" w:rsidRDefault="006E7E70" w:rsidP="006E7E70">
      <w:pPr>
        <w:rPr>
          <w:b/>
          <w:bCs/>
        </w:rPr>
      </w:pPr>
      <w:r w:rsidRPr="006E7E70">
        <w:rPr>
          <w:b/>
          <w:bCs/>
        </w:rPr>
        <w:t>Primary Publication Basis</w:t>
      </w:r>
    </w:p>
    <w:p w14:paraId="6460A416" w14:textId="77777777" w:rsidR="006E7E70" w:rsidRPr="006E7E70" w:rsidRDefault="006E7E70" w:rsidP="006E7E70">
      <w:r w:rsidRPr="006E7E70">
        <w:rPr>
          <w:b/>
          <w:bCs/>
        </w:rPr>
        <w:t>DMG01 · IFRS ISSB + SASB to GRI Direct Mapping Guide</w:t>
      </w:r>
      <w:r w:rsidRPr="006E7E70">
        <w:t xml:space="preserve"> </w:t>
      </w:r>
      <w:hyperlink r:id="rId10" w:tgtFrame="_self" w:history="1">
        <w:r w:rsidRPr="006E7E70">
          <w:rPr>
            <w:rStyle w:val="ae"/>
            <w:b/>
            <w:bCs/>
          </w:rPr>
          <w:t>https://doi.org/10.64969/emj.dmg01.gri.2026.v1.2</w:t>
        </w:r>
      </w:hyperlink>
    </w:p>
    <w:p w14:paraId="6A83BDF3" w14:textId="77777777" w:rsidR="006E7E70" w:rsidRPr="006E7E70" w:rsidRDefault="006E7E70" w:rsidP="006E7E70">
      <w:r w:rsidRPr="006E7E70">
        <w:rPr>
          <w:b/>
          <w:bCs/>
        </w:rPr>
        <w:t>DMG02 · IFRS ISSB + SASB to ESRS Direct Mapping Guide</w:t>
      </w:r>
      <w:r w:rsidRPr="006E7E70">
        <w:t xml:space="preserve"> </w:t>
      </w:r>
      <w:hyperlink r:id="rId11" w:tgtFrame="_self" w:history="1">
        <w:r w:rsidRPr="006E7E70">
          <w:rPr>
            <w:rStyle w:val="ae"/>
            <w:b/>
            <w:bCs/>
          </w:rPr>
          <w:t>https://doi.org/10.64969/emj.dmg02.esrs.2026.v1.0</w:t>
        </w:r>
      </w:hyperlink>
    </w:p>
    <w:p w14:paraId="5B1B0AF0" w14:textId="77777777" w:rsidR="006E7E70" w:rsidRPr="006E7E70" w:rsidRDefault="006E7E70" w:rsidP="006E7E70">
      <w:r w:rsidRPr="006E7E70">
        <w:rPr>
          <w:b/>
          <w:bCs/>
        </w:rPr>
        <w:t>DMG03 · IFRS ISSB + SASB to TNFD Direct Mapping Guide</w:t>
      </w:r>
      <w:r w:rsidRPr="006E7E70">
        <w:t xml:space="preserve"> </w:t>
      </w:r>
      <w:hyperlink r:id="rId12" w:tgtFrame="_self" w:history="1">
        <w:r w:rsidRPr="006E7E70">
          <w:rPr>
            <w:rStyle w:val="ae"/>
            <w:b/>
            <w:bCs/>
          </w:rPr>
          <w:t>https://doi.org/10.64969/emj.dmg03.tnfd.2026.v1.0</w:t>
        </w:r>
      </w:hyperlink>
    </w:p>
    <w:p w14:paraId="377F7619" w14:textId="77777777" w:rsidR="006E7E70" w:rsidRPr="006E7E70" w:rsidRDefault="006E7E70" w:rsidP="006E7E70">
      <w:r w:rsidRPr="006E7E70">
        <w:rPr>
          <w:b/>
          <w:bCs/>
        </w:rPr>
        <w:lastRenderedPageBreak/>
        <w:t>DMG04 · IFRS ISSB + SASB to COSO Direct Mapping Guide</w:t>
      </w:r>
      <w:r w:rsidRPr="006E7E70">
        <w:t xml:space="preserve"> </w:t>
      </w:r>
      <w:hyperlink r:id="rId13" w:tgtFrame="_self" w:history="1">
        <w:r w:rsidRPr="006E7E70">
          <w:rPr>
            <w:rStyle w:val="ae"/>
            <w:b/>
            <w:bCs/>
          </w:rPr>
          <w:t>https://doi.org/10.64969/emj.dmg04.coso.2026.v1.0</w:t>
        </w:r>
      </w:hyperlink>
    </w:p>
    <w:p w14:paraId="2FE27FEA" w14:textId="77777777" w:rsidR="006E7E70" w:rsidRPr="006E7E70" w:rsidRDefault="006E7E70" w:rsidP="006E7E70">
      <w:r w:rsidRPr="006E7E70">
        <w:rPr>
          <w:b/>
          <w:bCs/>
        </w:rPr>
        <w:t>DMG05 · IFRS ISSB + SASB to GHG Protocol Scope 3 Direct Mapping Guide</w:t>
      </w:r>
      <w:r w:rsidRPr="006E7E70">
        <w:t xml:space="preserve"> </w:t>
      </w:r>
      <w:hyperlink r:id="rId14" w:tgtFrame="_self" w:history="1">
        <w:r w:rsidRPr="006E7E70">
          <w:rPr>
            <w:rStyle w:val="ae"/>
            <w:b/>
            <w:bCs/>
          </w:rPr>
          <w:t>https://doi.org/10.64969/emj.dmg05.scope3.2026.v1.0</w:t>
        </w:r>
      </w:hyperlink>
    </w:p>
    <w:p w14:paraId="1F51FDE4" w14:textId="77777777" w:rsidR="006E7E70" w:rsidRPr="006E7E70" w:rsidRDefault="006E7E70" w:rsidP="006E7E70">
      <w:r w:rsidRPr="006E7E70">
        <w:rPr>
          <w:b/>
          <w:bCs/>
        </w:rPr>
        <w:t>DMG06 · IFRS ISSB + SASB to UN SDGs Direct Mapping Guide</w:t>
      </w:r>
      <w:r w:rsidRPr="006E7E70">
        <w:t xml:space="preserve"> </w:t>
      </w:r>
      <w:hyperlink r:id="rId15" w:tgtFrame="_self" w:history="1">
        <w:r w:rsidRPr="006E7E70">
          <w:rPr>
            <w:rStyle w:val="ae"/>
            <w:b/>
            <w:bCs/>
          </w:rPr>
          <w:t>https://doi.org/10.64969/emj.dmg06.sdgs.2026.v1.0</w:t>
        </w:r>
      </w:hyperlink>
    </w:p>
    <w:p w14:paraId="2785CB0D" w14:textId="77777777" w:rsidR="006E7E70" w:rsidRPr="006E7E70" w:rsidRDefault="006E7E70" w:rsidP="006E7E70">
      <w:r w:rsidRPr="006E7E70">
        <w:t>Official issuing-institution materials remain authoritative for their respective standards, frameworks, methodologies, requirements and terminology.</w:t>
      </w:r>
    </w:p>
    <w:p w14:paraId="52CB868A" w14:textId="77777777" w:rsidR="006E7E70" w:rsidRPr="006E7E70" w:rsidRDefault="006E7E70" w:rsidP="006E7E70">
      <w:r w:rsidRPr="006E7E70">
        <w:t xml:space="preserve">The mappings are independent </w:t>
      </w:r>
      <w:hyperlink r:id="rId16" w:tgtFrame="_self" w:history="1">
        <w:r w:rsidRPr="006E7E70">
          <w:rPr>
            <w:rStyle w:val="ae"/>
            <w:b/>
            <w:bCs/>
          </w:rPr>
          <w:t>EMJ.LIFE</w:t>
        </w:r>
      </w:hyperlink>
      <w:r w:rsidRPr="006E7E70">
        <w:t xml:space="preserve"> methodology publications.</w:t>
      </w:r>
    </w:p>
    <w:p w14:paraId="64F54DA6" w14:textId="77777777" w:rsidR="006E7E70" w:rsidRPr="006E7E70" w:rsidRDefault="006E7E70" w:rsidP="006E7E70">
      <w:r w:rsidRPr="006E7E70">
        <w:t>They do not constitute official crosswalks, regulatory determinations, compliance conclusions, certifications, assurance opinions or endorsements by the referenced institutions.</w:t>
      </w:r>
    </w:p>
    <w:p w14:paraId="288CBE0B" w14:textId="77777777" w:rsidR="00F10D07" w:rsidRPr="006E7E70" w:rsidRDefault="00F10D07"/>
    <w:sectPr w:rsidR="00F10D07" w:rsidRPr="006E7E7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4D3"/>
    <w:rsid w:val="000A13F6"/>
    <w:rsid w:val="006314D3"/>
    <w:rsid w:val="006E7E70"/>
    <w:rsid w:val="007E240A"/>
    <w:rsid w:val="00B159C3"/>
    <w:rsid w:val="00F1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56A9C"/>
  <w15:chartTrackingRefBased/>
  <w15:docId w15:val="{6FDE07E5-AEA4-4F03-9E1B-329C303BF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314D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14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14D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14D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14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14D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14D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14D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14D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314D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314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314D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314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314D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314D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314D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314D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314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14D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314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14D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314D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14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314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14D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14D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14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314D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314D3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6E7E7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E7E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doi.org/10.64969/emj.dmg04.coso.2026.v1.0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hyperlink" Target="https://doi.org/10.64969/emj.dmg03.tnfd.2026.v1.0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emj.life/" TargetMode="Externa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doi.org/10.64969/emj.dmg02.esrs.2026.v1.0" TargetMode="External"/><Relationship Id="rId5" Type="http://schemas.openxmlformats.org/officeDocument/2006/relationships/hyperlink" Target="http://emj.life/" TargetMode="External"/><Relationship Id="rId15" Type="http://schemas.openxmlformats.org/officeDocument/2006/relationships/hyperlink" Target="https://doi.org/10.64969/emj.dmg06.sdgs.2026.v1.0" TargetMode="External"/><Relationship Id="rId10" Type="http://schemas.openxmlformats.org/officeDocument/2006/relationships/hyperlink" Target="https://doi.org/10.64969/emj.dmg01.gri.2026.v1.2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emj.life/" TargetMode="External"/><Relationship Id="rId14" Type="http://schemas.openxmlformats.org/officeDocument/2006/relationships/hyperlink" Target="https://doi.org/10.64969/emj.dmg05.scope3.2026.v1.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1934</Words>
  <Characters>11026</Characters>
  <Application>Microsoft Office Word</Application>
  <DocSecurity>0</DocSecurity>
  <Lines>91</Lines>
  <Paragraphs>25</Paragraphs>
  <ScaleCrop>false</ScaleCrop>
  <Company/>
  <LinksUpToDate>false</LinksUpToDate>
  <CharactersWithSpaces>12935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2</cp:revision>
  <dcterms:created xsi:type="dcterms:W3CDTF">2026-09-11T15:05:00Z</dcterms:created>
  <dcterms:modified xsi:type="dcterms:W3CDTF">2026-09-11T15:05:00Z</dcterms:modified>
</cp:coreProperties>
</file>