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8F218" w14:textId="712D9C58" w:rsidR="00DD5758" w:rsidRPr="00DD5758" w:rsidRDefault="00DD5758" w:rsidP="00DD5758">
      <w:r w:rsidRPr="00DD5758">
        <w:drawing>
          <wp:inline distT="0" distB="0" distL="0" distR="0" wp14:anchorId="577FFAF3" wp14:editId="3C4AFBBF">
            <wp:extent cx="5274310" cy="2964180"/>
            <wp:effectExtent l="0" t="0" r="2540" b="7620"/>
            <wp:docPr id="1572970855" name="圖片 9" descr="Why the IASB and ISSB Taxonomy Consultations Point to a Pre-Disclosure Evidence G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mber42" descr="Why the IASB and ISSB Taxonomy Consultations Point to a Pre-Disclosure Evidence Ga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AC7537" w14:textId="77777777" w:rsidR="00DD5758" w:rsidRPr="00DD5758" w:rsidRDefault="00DD5758" w:rsidP="00DD5758">
      <w:r w:rsidRPr="00DD5758">
        <w:t>Why the IASB and ISSB Taxonomy Consultations Point to a Pre-Disclosure Evidence Gap</w:t>
      </w:r>
    </w:p>
    <w:p w14:paraId="2D196113" w14:textId="77777777" w:rsidR="00DD5758" w:rsidRPr="00DD5758" w:rsidRDefault="00DD5758" w:rsidP="00DD5758">
      <w:pPr>
        <w:rPr>
          <w:b/>
          <w:bCs/>
        </w:rPr>
      </w:pPr>
      <w:r w:rsidRPr="00DD5758">
        <w:rPr>
          <w:b/>
          <w:bCs/>
        </w:rPr>
        <w:t>Evidence Infrastructure Signal · 017 MACHINE-READABLE IS NOT YET MACHINE-VERIFIABLE</w:t>
      </w:r>
    </w:p>
    <w:p w14:paraId="33DCB0A0" w14:textId="77777777" w:rsidR="00DD5758" w:rsidRPr="00DD5758" w:rsidRDefault="00DD5758" w:rsidP="00DD5758">
      <w:r w:rsidRPr="00DD5758">
        <w:t>August 28, 2026</w:t>
      </w:r>
    </w:p>
    <w:p w14:paraId="3470BFD8" w14:textId="77777777" w:rsidR="00DD5758" w:rsidRPr="00DD5758" w:rsidRDefault="00DD5758" w:rsidP="00DD5758">
      <w:pPr>
        <w:rPr>
          <w:b/>
          <w:bCs/>
        </w:rPr>
      </w:pPr>
      <w:r w:rsidRPr="00DD5758">
        <w:rPr>
          <w:b/>
          <w:bCs/>
        </w:rPr>
        <w:t>Why the IASB and ISSB Taxonomy Consultations Point to a Pre-Disclosure Evidence Gap</w:t>
      </w:r>
    </w:p>
    <w:p w14:paraId="647C9383" w14:textId="77777777" w:rsidR="00DD5758" w:rsidRPr="00DD5758" w:rsidRDefault="00DD5758" w:rsidP="00DD5758">
      <w:pPr>
        <w:rPr>
          <w:b/>
          <w:bCs/>
        </w:rPr>
      </w:pPr>
      <w:r w:rsidRPr="00DD5758">
        <w:rPr>
          <w:b/>
          <w:bCs/>
        </w:rPr>
        <w:t>Opening</w:t>
      </w:r>
    </w:p>
    <w:p w14:paraId="1A3404D3" w14:textId="77777777" w:rsidR="00DD5758" w:rsidRPr="00DD5758" w:rsidRDefault="00DD5758" w:rsidP="00DD5758">
      <w:r w:rsidRPr="00DD5758">
        <w:t>The IASB and ISSB are consulting on changes to two different digital taxonomies.</w:t>
      </w:r>
    </w:p>
    <w:p w14:paraId="58A9CC45" w14:textId="77777777" w:rsidR="00DD5758" w:rsidRPr="00DD5758" w:rsidRDefault="00DD5758" w:rsidP="00DD5758">
      <w:r w:rsidRPr="00DD5758">
        <w:t>One consultation addresses how narrative information is structured within the IFRS Accounting Taxonomy.</w:t>
      </w:r>
    </w:p>
    <w:p w14:paraId="050E670F" w14:textId="77777777" w:rsidR="00DD5758" w:rsidRPr="00DD5758" w:rsidRDefault="00DD5758" w:rsidP="00DD5758">
      <w:r w:rsidRPr="00DD5758">
        <w:t>The other reflects amended greenhouse gas emissions disclosure requirements within the IFRS Sustainability Disclosure Taxonomy.</w:t>
      </w:r>
    </w:p>
    <w:p w14:paraId="149464D2" w14:textId="77777777" w:rsidR="00DD5758" w:rsidRPr="00DD5758" w:rsidRDefault="00DD5758" w:rsidP="00DD5758">
      <w:r w:rsidRPr="00DD5758">
        <w:t>These are different consultations addressing different reporting requirements.</w:t>
      </w:r>
    </w:p>
    <w:p w14:paraId="1BEC92E0" w14:textId="77777777" w:rsidR="00DD5758" w:rsidRPr="00DD5758" w:rsidRDefault="00DD5758" w:rsidP="00DD5758">
      <w:r w:rsidRPr="00DD5758">
        <w:t>Yet viewed together, they point to the same emerging implementation question:</w:t>
      </w:r>
    </w:p>
    <w:p w14:paraId="5DCB52E5" w14:textId="77777777" w:rsidR="00DD5758" w:rsidRPr="00DD5758" w:rsidRDefault="00DD5758" w:rsidP="00DD5758">
      <w:r w:rsidRPr="00DD5758">
        <w:t>What happens when disclosures become machine-readable, but the evidence behind them does not become machine-verifiable?</w:t>
      </w:r>
    </w:p>
    <w:p w14:paraId="5C380BE2" w14:textId="77777777" w:rsidR="00DD5758" w:rsidRPr="00DD5758" w:rsidRDefault="00DD5758" w:rsidP="00DD5758">
      <w:r w:rsidRPr="00DD5758">
        <w:lastRenderedPageBreak/>
        <w:t>Digital taxonomies can improve how reported information is tagged, extracted, compared and analysed.</w:t>
      </w:r>
    </w:p>
    <w:p w14:paraId="6D2CBE22" w14:textId="77777777" w:rsidR="00DD5758" w:rsidRPr="00DD5758" w:rsidRDefault="00DD5758" w:rsidP="00DD5758">
      <w:r w:rsidRPr="00DD5758">
        <w:t>But a taxonomy begins with information that has already reached the disclosure layer.</w:t>
      </w:r>
    </w:p>
    <w:p w14:paraId="688700CE" w14:textId="77777777" w:rsidR="00DD5758" w:rsidRPr="00DD5758" w:rsidRDefault="00DD5758" w:rsidP="00DD5758">
      <w:r w:rsidRPr="00DD5758">
        <w:t>It does not, by itself, determine whether the evidence behind that information is complete, connected, current or institutionally verifiable.</w:t>
      </w:r>
    </w:p>
    <w:p w14:paraId="1E36D2C1" w14:textId="77777777" w:rsidR="00DD5758" w:rsidRPr="00DD5758" w:rsidRDefault="00DD5758" w:rsidP="00DD5758">
      <w:r w:rsidRPr="00DD5758">
        <w:t>That gap begins before disclosure.</w:t>
      </w:r>
    </w:p>
    <w:p w14:paraId="383FE984" w14:textId="77777777" w:rsidR="00DD5758" w:rsidRPr="00DD5758" w:rsidRDefault="00DD5758" w:rsidP="00DD5758">
      <w:r w:rsidRPr="00DD5758">
        <w:pict w14:anchorId="03BCF050">
          <v:rect id="_x0000_i1095" style="width:486pt;height:.75pt" o:hrpct="0" o:hralign="center" o:hrstd="t" o:hr="t" fillcolor="#a0a0a0" stroked="f"/>
        </w:pict>
      </w:r>
    </w:p>
    <w:p w14:paraId="06EE37A9" w14:textId="77777777" w:rsidR="00DD5758" w:rsidRPr="00DD5758" w:rsidRDefault="00DD5758" w:rsidP="00DD5758">
      <w:pPr>
        <w:rPr>
          <w:b/>
          <w:bCs/>
        </w:rPr>
      </w:pPr>
      <w:r w:rsidRPr="00DD5758">
        <w:rPr>
          <w:b/>
          <w:bCs/>
        </w:rPr>
        <w:t>Two Different Taxonomy Consultations</w:t>
      </w:r>
    </w:p>
    <w:p w14:paraId="7BDA058A" w14:textId="77777777" w:rsidR="00DD5758" w:rsidRPr="00DD5758" w:rsidRDefault="00DD5758" w:rsidP="00DD5758">
      <w:r w:rsidRPr="00DD5758">
        <w:t xml:space="preserve">In June 2026, the IFRS Foundation published </w:t>
      </w:r>
      <w:r w:rsidRPr="00DD5758">
        <w:rPr>
          <w:i/>
          <w:iCs/>
        </w:rPr>
        <w:t>IFRS Accounting Taxonomy 2025—Proposed Update 1 General Improvements</w:t>
      </w:r>
      <w:r w:rsidRPr="00DD5758">
        <w:t>.</w:t>
      </w:r>
    </w:p>
    <w:p w14:paraId="76137358" w14:textId="77777777" w:rsidR="00DD5758" w:rsidRPr="00DD5758" w:rsidRDefault="00DD5758" w:rsidP="00DD5758">
      <w:r w:rsidRPr="00DD5758">
        <w:t>The proposals focus on existing narrative elements.</w:t>
      </w:r>
    </w:p>
    <w:p w14:paraId="633CECAE" w14:textId="77777777" w:rsidR="00DD5758" w:rsidRPr="00DD5758" w:rsidRDefault="00DD5758" w:rsidP="00DD5758">
      <w:r w:rsidRPr="00DD5758">
        <w:t>They include categorising text block elements according to their intended use, streamlining narrative elements and aligning them with the revised policy used in developing the IFRS Sustainability Disclosure Taxonomy.</w:t>
      </w:r>
    </w:p>
    <w:p w14:paraId="3350B6D6" w14:textId="77777777" w:rsidR="00DD5758" w:rsidRPr="00DD5758" w:rsidRDefault="00DD5758" w:rsidP="00DD5758">
      <w:r w:rsidRPr="00DD5758">
        <w:t>That revised policy creates separate narrative elements only when disclosures are expected to be separately understandable and readily identifiable.</w:t>
      </w:r>
    </w:p>
    <w:p w14:paraId="3A831199" w14:textId="77777777" w:rsidR="00DD5758" w:rsidRPr="00DD5758" w:rsidRDefault="00DD5758" w:rsidP="00DD5758">
      <w:r w:rsidRPr="00DD5758">
        <w:t>The proposed update would categorise approximately 360 text block elements, deprecate approximately 400 narrative elements and create approximately 100 narrative elements.</w:t>
      </w:r>
    </w:p>
    <w:p w14:paraId="5146FCF6" w14:textId="77777777" w:rsidR="00DD5758" w:rsidRPr="00DD5758" w:rsidRDefault="00DD5758" w:rsidP="00DD5758">
      <w:r w:rsidRPr="00DD5758">
        <w:t xml:space="preserve">In July 2026, the ISSB published </w:t>
      </w:r>
      <w:r w:rsidRPr="00DD5758">
        <w:rPr>
          <w:i/>
          <w:iCs/>
        </w:rPr>
        <w:t>IFRS Sustainability Disclosure Taxonomy—Proposed Update 1 Amendments to Greenhouse Gas Emissions Disclosures</w:t>
      </w:r>
      <w:r w:rsidRPr="00DD5758">
        <w:t>.</w:t>
      </w:r>
    </w:p>
    <w:p w14:paraId="2B63562A" w14:textId="77777777" w:rsidR="00DD5758" w:rsidRPr="00DD5758" w:rsidRDefault="00DD5758" w:rsidP="00DD5758">
      <w:r w:rsidRPr="00DD5758">
        <w:t>The update reflects targeted amendments to IFRS S2 issued in December 2025 in response to implementation challenges involving greenhouse gas emissions disclosures.</w:t>
      </w:r>
    </w:p>
    <w:p w14:paraId="1CED5935" w14:textId="77777777" w:rsidR="00DD5758" w:rsidRPr="00DD5758" w:rsidRDefault="00DD5758" w:rsidP="00DD5758">
      <w:r w:rsidRPr="00DD5758">
        <w:t>The proposed taxonomy update does not create new disclosure requirements.</w:t>
      </w:r>
    </w:p>
    <w:p w14:paraId="588418D3" w14:textId="77777777" w:rsidR="00DD5758" w:rsidRPr="00DD5758" w:rsidRDefault="00DD5758" w:rsidP="00DD5758">
      <w:r w:rsidRPr="00DD5758">
        <w:t>It translates the amended requirements into a structure that enables reported information to be tagged and processed digitally.</w:t>
      </w:r>
    </w:p>
    <w:p w14:paraId="5EB936EF" w14:textId="77777777" w:rsidR="00DD5758" w:rsidRPr="00DD5758" w:rsidRDefault="00DD5758" w:rsidP="00DD5758">
      <w:r w:rsidRPr="00DD5758">
        <w:lastRenderedPageBreak/>
        <w:t>One consultation therefore addresses the digital treatment of accounting narratives.</w:t>
      </w:r>
    </w:p>
    <w:p w14:paraId="027D5854" w14:textId="77777777" w:rsidR="00DD5758" w:rsidRPr="00DD5758" w:rsidRDefault="00DD5758" w:rsidP="00DD5758">
      <w:r w:rsidRPr="00DD5758">
        <w:t>The other addresses the digital representation of amended sustainability disclosure requirements.</w:t>
      </w:r>
    </w:p>
    <w:p w14:paraId="1DB23867" w14:textId="77777777" w:rsidR="00DD5758" w:rsidRPr="00DD5758" w:rsidRDefault="00DD5758" w:rsidP="00DD5758">
      <w:r w:rsidRPr="00DD5758">
        <w:t>They are not one coordinated consultation.</w:t>
      </w:r>
    </w:p>
    <w:p w14:paraId="592A8F80" w14:textId="77777777" w:rsidR="00DD5758" w:rsidRPr="00DD5758" w:rsidRDefault="00DD5758" w:rsidP="00DD5758">
      <w:r w:rsidRPr="00DD5758">
        <w:t>But both sit within the broader transition toward digitally structured general purpose financial reporting.</w:t>
      </w:r>
    </w:p>
    <w:p w14:paraId="50D0084D" w14:textId="77777777" w:rsidR="00DD5758" w:rsidRPr="00DD5758" w:rsidRDefault="00DD5758" w:rsidP="00DD5758">
      <w:r w:rsidRPr="00DD5758">
        <w:pict w14:anchorId="025BDAD9">
          <v:rect id="_x0000_i1096" style="width:486pt;height:.75pt" o:hrpct="0" o:hralign="center" o:hrstd="t" o:hr="t" fillcolor="#a0a0a0" stroked="f"/>
        </w:pict>
      </w:r>
    </w:p>
    <w:p w14:paraId="57DB53E7" w14:textId="77777777" w:rsidR="00DD5758" w:rsidRPr="00DD5758" w:rsidRDefault="00DD5758" w:rsidP="00DD5758">
      <w:pPr>
        <w:rPr>
          <w:b/>
          <w:bCs/>
        </w:rPr>
      </w:pPr>
      <w:r w:rsidRPr="00DD5758">
        <w:rPr>
          <w:b/>
          <w:bCs/>
        </w:rPr>
        <w:t>What Digital Taxonomies Can Do</w:t>
      </w:r>
    </w:p>
    <w:p w14:paraId="142EAE45" w14:textId="77777777" w:rsidR="00DD5758" w:rsidRPr="00DD5758" w:rsidRDefault="00DD5758" w:rsidP="00DD5758">
      <w:r w:rsidRPr="00DD5758">
        <w:t>Digital taxonomies provide defined elements that allow reported information to be structured and classified in a computer-readable format.</w:t>
      </w:r>
    </w:p>
    <w:p w14:paraId="5DE04F60" w14:textId="77777777" w:rsidR="00DD5758" w:rsidRPr="00DD5758" w:rsidRDefault="00DD5758" w:rsidP="00DD5758">
      <w:r w:rsidRPr="00DD5758">
        <w:t>They can support:</w:t>
      </w:r>
    </w:p>
    <w:p w14:paraId="01520C91" w14:textId="77777777" w:rsidR="00DD5758" w:rsidRPr="00DD5758" w:rsidRDefault="00DD5758" w:rsidP="00DD5758">
      <w:pPr>
        <w:numPr>
          <w:ilvl w:val="0"/>
          <w:numId w:val="1"/>
        </w:numPr>
      </w:pPr>
      <w:r w:rsidRPr="00DD5758">
        <w:t>more consistent tagging;</w:t>
      </w:r>
    </w:p>
    <w:p w14:paraId="43B8BF5D" w14:textId="77777777" w:rsidR="00DD5758" w:rsidRPr="00DD5758" w:rsidRDefault="00DD5758" w:rsidP="00DD5758">
      <w:pPr>
        <w:numPr>
          <w:ilvl w:val="0"/>
          <w:numId w:val="1"/>
        </w:numPr>
      </w:pPr>
      <w:r w:rsidRPr="00DD5758">
        <w:t>faster extraction of reported information;</w:t>
      </w:r>
    </w:p>
    <w:p w14:paraId="21921E77" w14:textId="77777777" w:rsidR="00DD5758" w:rsidRPr="00DD5758" w:rsidRDefault="00DD5758" w:rsidP="00DD5758">
      <w:pPr>
        <w:numPr>
          <w:ilvl w:val="0"/>
          <w:numId w:val="1"/>
        </w:numPr>
      </w:pPr>
      <w:r w:rsidRPr="00DD5758">
        <w:t>cross-company comparison;</w:t>
      </w:r>
    </w:p>
    <w:p w14:paraId="7DA78BB3" w14:textId="77777777" w:rsidR="00DD5758" w:rsidRPr="00DD5758" w:rsidRDefault="00DD5758" w:rsidP="00DD5758">
      <w:pPr>
        <w:numPr>
          <w:ilvl w:val="0"/>
          <w:numId w:val="1"/>
        </w:numPr>
      </w:pPr>
      <w:r w:rsidRPr="00DD5758">
        <w:t>digital analysis by investors and regulators;</w:t>
      </w:r>
    </w:p>
    <w:p w14:paraId="1FA75561" w14:textId="77777777" w:rsidR="00DD5758" w:rsidRPr="00DD5758" w:rsidRDefault="00DD5758" w:rsidP="00DD5758">
      <w:pPr>
        <w:numPr>
          <w:ilvl w:val="0"/>
          <w:numId w:val="1"/>
        </w:numPr>
      </w:pPr>
      <w:r w:rsidRPr="00DD5758">
        <w:t>improved navigation across narrative and numerical disclosures; and</w:t>
      </w:r>
    </w:p>
    <w:p w14:paraId="71832DBF" w14:textId="77777777" w:rsidR="00DD5758" w:rsidRPr="00DD5758" w:rsidRDefault="00DD5758" w:rsidP="00DD5758">
      <w:pPr>
        <w:numPr>
          <w:ilvl w:val="0"/>
          <w:numId w:val="1"/>
        </w:numPr>
      </w:pPr>
      <w:r w:rsidRPr="00DD5758">
        <w:t>more efficient use of reporting information by analytical systems and artificial intelligence.</w:t>
      </w:r>
    </w:p>
    <w:p w14:paraId="507EEB7A" w14:textId="77777777" w:rsidR="00DD5758" w:rsidRPr="00DD5758" w:rsidRDefault="00DD5758" w:rsidP="00DD5758">
      <w:r w:rsidRPr="00DD5758">
        <w:t>These functions matter.</w:t>
      </w:r>
    </w:p>
    <w:p w14:paraId="301C8129" w14:textId="77777777" w:rsidR="00DD5758" w:rsidRPr="00DD5758" w:rsidRDefault="00DD5758" w:rsidP="00DD5758">
      <w:r w:rsidRPr="00DD5758">
        <w:t>Without consistent digital structure, information can remain difficult to locate, compare or process at scale.</w:t>
      </w:r>
    </w:p>
    <w:p w14:paraId="5093D391" w14:textId="77777777" w:rsidR="00DD5758" w:rsidRPr="00DD5758" w:rsidRDefault="00DD5758" w:rsidP="00DD5758">
      <w:r w:rsidRPr="00DD5758">
        <w:t>The IASB proposals also recognise that numerical and narrative information are not consumed in the same way.</w:t>
      </w:r>
    </w:p>
    <w:p w14:paraId="52283B10" w14:textId="77777777" w:rsidR="00DD5758" w:rsidRPr="00DD5758" w:rsidRDefault="00DD5758" w:rsidP="00DD5758">
      <w:r w:rsidRPr="00DD5758">
        <w:t>A number may be separately captured and compared.</w:t>
      </w:r>
    </w:p>
    <w:p w14:paraId="6C6EC966" w14:textId="77777777" w:rsidR="00DD5758" w:rsidRPr="00DD5758" w:rsidRDefault="00DD5758" w:rsidP="00DD5758">
      <w:r w:rsidRPr="00DD5758">
        <w:t xml:space="preserve">The meaning of a narrative disclosure may depend on surrounding explanations, </w:t>
      </w:r>
      <w:r w:rsidRPr="00DD5758">
        <w:lastRenderedPageBreak/>
        <w:t>assumptions and context.</w:t>
      </w:r>
    </w:p>
    <w:p w14:paraId="7131402B" w14:textId="77777777" w:rsidR="00DD5758" w:rsidRPr="00DD5758" w:rsidRDefault="00DD5758" w:rsidP="00DD5758">
      <w:r w:rsidRPr="00DD5758">
        <w:t>The design of narrative elements therefore influences how much context remains available when information moves from a report into a digital analytical environment.</w:t>
      </w:r>
    </w:p>
    <w:p w14:paraId="0977A40A" w14:textId="77777777" w:rsidR="00DD5758" w:rsidRPr="00DD5758" w:rsidRDefault="00DD5758" w:rsidP="00DD5758">
      <w:r w:rsidRPr="00DD5758">
        <w:t>But this raises a wider question.</w:t>
      </w:r>
    </w:p>
    <w:p w14:paraId="4DDCD532" w14:textId="77777777" w:rsidR="00DD5758" w:rsidRPr="00DD5758" w:rsidRDefault="00DD5758" w:rsidP="00DD5758">
      <w:r w:rsidRPr="00DD5758">
        <w:t>If a disclosure is consistently tagged, does that mean the evidence behind it is equally consistent?</w:t>
      </w:r>
    </w:p>
    <w:p w14:paraId="2BEBB688" w14:textId="77777777" w:rsidR="00DD5758" w:rsidRPr="00DD5758" w:rsidRDefault="00DD5758" w:rsidP="00DD5758">
      <w:r w:rsidRPr="00DD5758">
        <w:t>Not necessarily.</w:t>
      </w:r>
    </w:p>
    <w:p w14:paraId="0CC6514E" w14:textId="77777777" w:rsidR="00DD5758" w:rsidRPr="00DD5758" w:rsidRDefault="00DD5758" w:rsidP="00DD5758">
      <w:r w:rsidRPr="00DD5758">
        <w:t>See content credentials</w:t>
      </w:r>
    </w:p>
    <w:p w14:paraId="2F29E545" w14:textId="097F94A3" w:rsidR="00DD5758" w:rsidRPr="00DD5758" w:rsidRDefault="00DD5758" w:rsidP="00DD5758">
      <w:r w:rsidRPr="00DD5758">
        <w:lastRenderedPageBreak/>
        <w:drawing>
          <wp:inline distT="0" distB="0" distL="0" distR="0" wp14:anchorId="18E769A3" wp14:editId="32B5F4DD">
            <wp:extent cx="5274310" cy="7911465"/>
            <wp:effectExtent l="0" t="0" r="2540" b="0"/>
            <wp:docPr id="1487952509" name="圖片 7" descr="Article cont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mber102" descr="Article conten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91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4D49ED" w14:textId="77777777" w:rsidR="00DD5758" w:rsidRPr="00DD5758" w:rsidRDefault="00DD5758" w:rsidP="00DD5758">
      <w:r w:rsidRPr="00DD5758">
        <w:t>Two taxonomy updates reveal one upstream evidence gap.</w:t>
      </w:r>
    </w:p>
    <w:p w14:paraId="3119FC57" w14:textId="77777777" w:rsidR="00DD5758" w:rsidRPr="00DD5758" w:rsidRDefault="00DD5758" w:rsidP="00DD5758">
      <w:r w:rsidRPr="00DD5758">
        <w:pict w14:anchorId="00CC4B8B">
          <v:rect id="_x0000_i1098" style="width:486pt;height:.75pt" o:hrpct="0" o:hralign="center" o:hrstd="t" o:hr="t" fillcolor="#a0a0a0" stroked="f"/>
        </w:pict>
      </w:r>
    </w:p>
    <w:p w14:paraId="4CF2572B" w14:textId="77777777" w:rsidR="00DD5758" w:rsidRPr="00DD5758" w:rsidRDefault="00DD5758" w:rsidP="00DD5758">
      <w:pPr>
        <w:rPr>
          <w:b/>
          <w:bCs/>
        </w:rPr>
      </w:pPr>
      <w:r w:rsidRPr="00DD5758">
        <w:rPr>
          <w:b/>
          <w:bCs/>
        </w:rPr>
        <w:lastRenderedPageBreak/>
        <w:t>What Taxonomies Cannot Establish by Themselves</w:t>
      </w:r>
    </w:p>
    <w:p w14:paraId="0806E3FE" w14:textId="77777777" w:rsidR="00DD5758" w:rsidRPr="00DD5758" w:rsidRDefault="00DD5758" w:rsidP="00DD5758">
      <w:r w:rsidRPr="00DD5758">
        <w:t>A digital tag can identify what a disclosure represents.</w:t>
      </w:r>
    </w:p>
    <w:p w14:paraId="0B6532CF" w14:textId="77777777" w:rsidR="00DD5758" w:rsidRPr="00DD5758" w:rsidRDefault="00DD5758" w:rsidP="00DD5758">
      <w:r w:rsidRPr="00DD5758">
        <w:t>It does not automatically establish:</w:t>
      </w:r>
    </w:p>
    <w:p w14:paraId="445AF721" w14:textId="77777777" w:rsidR="00DD5758" w:rsidRPr="00DD5758" w:rsidRDefault="00DD5758" w:rsidP="00DD5758">
      <w:pPr>
        <w:numPr>
          <w:ilvl w:val="0"/>
          <w:numId w:val="2"/>
        </w:numPr>
      </w:pPr>
      <w:r w:rsidRPr="00DD5758">
        <w:t>which operational source produced the underlying data;</w:t>
      </w:r>
    </w:p>
    <w:p w14:paraId="70C79536" w14:textId="77777777" w:rsidR="00DD5758" w:rsidRPr="00DD5758" w:rsidRDefault="00DD5758" w:rsidP="00DD5758">
      <w:pPr>
        <w:numPr>
          <w:ilvl w:val="0"/>
          <w:numId w:val="2"/>
        </w:numPr>
      </w:pPr>
      <w:r w:rsidRPr="00DD5758">
        <w:t>which organisational boundary was applied;</w:t>
      </w:r>
    </w:p>
    <w:p w14:paraId="33B42BDC" w14:textId="77777777" w:rsidR="00DD5758" w:rsidRPr="00DD5758" w:rsidRDefault="00DD5758" w:rsidP="00DD5758">
      <w:pPr>
        <w:numPr>
          <w:ilvl w:val="0"/>
          <w:numId w:val="2"/>
        </w:numPr>
      </w:pPr>
      <w:r w:rsidRPr="00DD5758">
        <w:t>which calculation methodology and assumptions were used;</w:t>
      </w:r>
    </w:p>
    <w:p w14:paraId="2203587C" w14:textId="77777777" w:rsidR="00DD5758" w:rsidRPr="00DD5758" w:rsidRDefault="00DD5758" w:rsidP="00DD5758">
      <w:pPr>
        <w:numPr>
          <w:ilvl w:val="0"/>
          <w:numId w:val="2"/>
        </w:numPr>
      </w:pPr>
      <w:r w:rsidRPr="00DD5758">
        <w:t>whether the source data changed after the calculation;</w:t>
      </w:r>
    </w:p>
    <w:p w14:paraId="75666469" w14:textId="77777777" w:rsidR="00DD5758" w:rsidRPr="00DD5758" w:rsidRDefault="00DD5758" w:rsidP="00DD5758">
      <w:pPr>
        <w:numPr>
          <w:ilvl w:val="0"/>
          <w:numId w:val="2"/>
        </w:numPr>
      </w:pPr>
      <w:r w:rsidRPr="00DD5758">
        <w:t>who reviewed and approved the information;</w:t>
      </w:r>
    </w:p>
    <w:p w14:paraId="74270867" w14:textId="77777777" w:rsidR="00DD5758" w:rsidRPr="00DD5758" w:rsidRDefault="00DD5758" w:rsidP="00DD5758">
      <w:pPr>
        <w:numPr>
          <w:ilvl w:val="0"/>
          <w:numId w:val="2"/>
        </w:numPr>
      </w:pPr>
      <w:r w:rsidRPr="00DD5758">
        <w:t>whether the narrative and numerical disclosures use aligned definitions;</w:t>
      </w:r>
    </w:p>
    <w:p w14:paraId="187A45CA" w14:textId="77777777" w:rsidR="00DD5758" w:rsidRPr="00DD5758" w:rsidRDefault="00DD5758" w:rsidP="00DD5758">
      <w:pPr>
        <w:numPr>
          <w:ilvl w:val="0"/>
          <w:numId w:val="2"/>
        </w:numPr>
      </w:pPr>
      <w:r w:rsidRPr="00DD5758">
        <w:t>which evidence was available when the disclosure was prepared;</w:t>
      </w:r>
    </w:p>
    <w:p w14:paraId="25D41F4A" w14:textId="77777777" w:rsidR="00DD5758" w:rsidRPr="00DD5758" w:rsidRDefault="00DD5758" w:rsidP="00DD5758">
      <w:pPr>
        <w:numPr>
          <w:ilvl w:val="0"/>
          <w:numId w:val="2"/>
        </w:numPr>
      </w:pPr>
      <w:r w:rsidRPr="00DD5758">
        <w:t>whether the disclosed information remains connected to its supporting records; or</w:t>
      </w:r>
    </w:p>
    <w:p w14:paraId="55C1299B" w14:textId="77777777" w:rsidR="00DD5758" w:rsidRPr="00DD5758" w:rsidRDefault="00DD5758" w:rsidP="00DD5758">
      <w:pPr>
        <w:numPr>
          <w:ilvl w:val="0"/>
          <w:numId w:val="2"/>
        </w:numPr>
      </w:pPr>
      <w:r w:rsidRPr="00DD5758">
        <w:t>whether an assurance provider can reproduce the path from source to disclosure.</w:t>
      </w:r>
    </w:p>
    <w:p w14:paraId="6E660356" w14:textId="77777777" w:rsidR="00DD5758" w:rsidRPr="00DD5758" w:rsidRDefault="00DD5758" w:rsidP="00DD5758">
      <w:r w:rsidRPr="00DD5758">
        <w:t>This distinction is particularly important for greenhouse gas emissions.</w:t>
      </w:r>
    </w:p>
    <w:p w14:paraId="5A9AE6E3" w14:textId="77777777" w:rsidR="00DD5758" w:rsidRPr="00DD5758" w:rsidRDefault="00DD5758" w:rsidP="00DD5758">
      <w:r w:rsidRPr="00DD5758">
        <w:t>A digitally tagged emissions figure may be easy to locate and compare.</w:t>
      </w:r>
    </w:p>
    <w:p w14:paraId="03987AFE" w14:textId="77777777" w:rsidR="00DD5758" w:rsidRPr="00DD5758" w:rsidRDefault="00DD5758" w:rsidP="00DD5758">
      <w:r w:rsidRPr="00DD5758">
        <w:t>But its evidential reliability still depends on matters such as source activity data, emission factors, estimation methods, organisational boundaries, calculation versions and internal controls.</w:t>
      </w:r>
    </w:p>
    <w:p w14:paraId="0BB324AA" w14:textId="77777777" w:rsidR="00DD5758" w:rsidRPr="00DD5758" w:rsidRDefault="00DD5758" w:rsidP="00DD5758">
      <w:r w:rsidRPr="00DD5758">
        <w:t>The same issue applies to narrative financial information.</w:t>
      </w:r>
    </w:p>
    <w:p w14:paraId="72923EAF" w14:textId="77777777" w:rsidR="00DD5758" w:rsidRPr="00DD5758" w:rsidRDefault="00DD5758" w:rsidP="00DD5758">
      <w:r w:rsidRPr="00DD5758">
        <w:t>A text block can preserve a larger and more coherent disclosure context.</w:t>
      </w:r>
    </w:p>
    <w:p w14:paraId="6F7BB0DD" w14:textId="77777777" w:rsidR="00DD5758" w:rsidRPr="00DD5758" w:rsidRDefault="00DD5758" w:rsidP="00DD5758">
      <w:r w:rsidRPr="00DD5758">
        <w:t>But the tag cannot independently establish how the underlying judgement was formed, which evidence supported it or whether that evidence remains valid.</w:t>
      </w:r>
    </w:p>
    <w:p w14:paraId="773D00B3" w14:textId="77777777" w:rsidR="00DD5758" w:rsidRPr="00DD5758" w:rsidRDefault="00DD5758" w:rsidP="00DD5758">
      <w:r w:rsidRPr="00DD5758">
        <w:t>A taxonomy structures disclosure. It does not create the evidence behind it.</w:t>
      </w:r>
    </w:p>
    <w:p w14:paraId="7A50BAF3" w14:textId="77777777" w:rsidR="00DD5758" w:rsidRPr="00DD5758" w:rsidRDefault="00DD5758" w:rsidP="00DD5758">
      <w:r w:rsidRPr="00DD5758">
        <w:pict w14:anchorId="387AB5E4">
          <v:rect id="_x0000_i1099" style="width:486pt;height:.75pt" o:hrpct="0" o:hralign="center" o:hrstd="t" o:hr="t" fillcolor="#a0a0a0" stroked="f"/>
        </w:pict>
      </w:r>
    </w:p>
    <w:p w14:paraId="0620FA16" w14:textId="77777777" w:rsidR="00DD5758" w:rsidRPr="00DD5758" w:rsidRDefault="00DD5758" w:rsidP="00DD5758">
      <w:pPr>
        <w:rPr>
          <w:b/>
          <w:bCs/>
        </w:rPr>
      </w:pPr>
      <w:r w:rsidRPr="00DD5758">
        <w:rPr>
          <w:b/>
          <w:bCs/>
        </w:rPr>
        <w:lastRenderedPageBreak/>
        <w:t>The Gap Before Disclosure</w:t>
      </w:r>
    </w:p>
    <w:p w14:paraId="3A26D092" w14:textId="77777777" w:rsidR="00DD5758" w:rsidRPr="00DD5758" w:rsidRDefault="00DD5758" w:rsidP="00DD5758">
      <w:r w:rsidRPr="00DD5758">
        <w:t>The emerging digital-reporting challenge is therefore not only how information is tagged after it reaches a report.</w:t>
      </w:r>
    </w:p>
    <w:p w14:paraId="7E1C3BD0" w14:textId="77777777" w:rsidR="00DD5758" w:rsidRPr="00DD5758" w:rsidRDefault="00DD5758" w:rsidP="00DD5758">
      <w:r w:rsidRPr="00DD5758">
        <w:t>It is how evidence is governed before the disclosure is produced.</w:t>
      </w:r>
    </w:p>
    <w:p w14:paraId="1C2FA568" w14:textId="77777777" w:rsidR="00DD5758" w:rsidRPr="00DD5758" w:rsidRDefault="00DD5758" w:rsidP="00DD5758">
      <w:r w:rsidRPr="00DD5758">
        <w:t>Between an operational event and a digitally tagged disclosure sits an institutional chain:</w:t>
      </w:r>
    </w:p>
    <w:p w14:paraId="6AE95095" w14:textId="77777777" w:rsidR="00DD5758" w:rsidRPr="00DD5758" w:rsidRDefault="00DD5758" w:rsidP="00DD5758">
      <w:pPr>
        <w:numPr>
          <w:ilvl w:val="0"/>
          <w:numId w:val="3"/>
        </w:numPr>
      </w:pPr>
      <w:r w:rsidRPr="00DD5758">
        <w:t>source records;</w:t>
      </w:r>
    </w:p>
    <w:p w14:paraId="13C5611D" w14:textId="77777777" w:rsidR="00DD5758" w:rsidRPr="00DD5758" w:rsidRDefault="00DD5758" w:rsidP="00DD5758">
      <w:pPr>
        <w:numPr>
          <w:ilvl w:val="0"/>
          <w:numId w:val="3"/>
        </w:numPr>
      </w:pPr>
      <w:r w:rsidRPr="00DD5758">
        <w:t>data transformations;</w:t>
      </w:r>
    </w:p>
    <w:p w14:paraId="162B481D" w14:textId="77777777" w:rsidR="00DD5758" w:rsidRPr="00DD5758" w:rsidRDefault="00DD5758" w:rsidP="00DD5758">
      <w:pPr>
        <w:numPr>
          <w:ilvl w:val="0"/>
          <w:numId w:val="3"/>
        </w:numPr>
      </w:pPr>
      <w:r w:rsidRPr="00DD5758">
        <w:t>methodologies;</w:t>
      </w:r>
    </w:p>
    <w:p w14:paraId="157A4B51" w14:textId="77777777" w:rsidR="00DD5758" w:rsidRPr="00DD5758" w:rsidRDefault="00DD5758" w:rsidP="00DD5758">
      <w:pPr>
        <w:numPr>
          <w:ilvl w:val="0"/>
          <w:numId w:val="3"/>
        </w:numPr>
      </w:pPr>
      <w:r w:rsidRPr="00DD5758">
        <w:t>judgements;</w:t>
      </w:r>
    </w:p>
    <w:p w14:paraId="0FA8208B" w14:textId="77777777" w:rsidR="00DD5758" w:rsidRPr="00DD5758" w:rsidRDefault="00DD5758" w:rsidP="00DD5758">
      <w:pPr>
        <w:numPr>
          <w:ilvl w:val="0"/>
          <w:numId w:val="3"/>
        </w:numPr>
      </w:pPr>
      <w:r w:rsidRPr="00DD5758">
        <w:t>organisational boundaries;</w:t>
      </w:r>
    </w:p>
    <w:p w14:paraId="3FF53E3A" w14:textId="77777777" w:rsidR="00DD5758" w:rsidRPr="00DD5758" w:rsidRDefault="00DD5758" w:rsidP="00DD5758">
      <w:pPr>
        <w:numPr>
          <w:ilvl w:val="0"/>
          <w:numId w:val="3"/>
        </w:numPr>
      </w:pPr>
      <w:r w:rsidRPr="00DD5758">
        <w:t>internal controls;</w:t>
      </w:r>
    </w:p>
    <w:p w14:paraId="3E6106B8" w14:textId="77777777" w:rsidR="00DD5758" w:rsidRPr="00DD5758" w:rsidRDefault="00DD5758" w:rsidP="00DD5758">
      <w:pPr>
        <w:numPr>
          <w:ilvl w:val="0"/>
          <w:numId w:val="3"/>
        </w:numPr>
      </w:pPr>
      <w:r w:rsidRPr="00DD5758">
        <w:t>approvals;</w:t>
      </w:r>
    </w:p>
    <w:p w14:paraId="2B4B9DE8" w14:textId="77777777" w:rsidR="00DD5758" w:rsidRPr="00DD5758" w:rsidRDefault="00DD5758" w:rsidP="00DD5758">
      <w:pPr>
        <w:numPr>
          <w:ilvl w:val="0"/>
          <w:numId w:val="3"/>
        </w:numPr>
      </w:pPr>
      <w:r w:rsidRPr="00DD5758">
        <w:t>disclosure mappings;</w:t>
      </w:r>
    </w:p>
    <w:p w14:paraId="0EF597B0" w14:textId="77777777" w:rsidR="00DD5758" w:rsidRPr="00DD5758" w:rsidRDefault="00DD5758" w:rsidP="00DD5758">
      <w:pPr>
        <w:numPr>
          <w:ilvl w:val="0"/>
          <w:numId w:val="3"/>
        </w:numPr>
      </w:pPr>
      <w:r w:rsidRPr="00DD5758">
        <w:t>assurance procedures; and</w:t>
      </w:r>
    </w:p>
    <w:p w14:paraId="7EC8FC92" w14:textId="77777777" w:rsidR="00DD5758" w:rsidRPr="00DD5758" w:rsidRDefault="00DD5758" w:rsidP="00DD5758">
      <w:pPr>
        <w:numPr>
          <w:ilvl w:val="0"/>
          <w:numId w:val="3"/>
        </w:numPr>
      </w:pPr>
      <w:r w:rsidRPr="00DD5758">
        <w:t>version history.</w:t>
      </w:r>
    </w:p>
    <w:p w14:paraId="7F8E71BC" w14:textId="77777777" w:rsidR="00DD5758" w:rsidRPr="00DD5758" w:rsidRDefault="00DD5758" w:rsidP="00DD5758">
      <w:r w:rsidRPr="00DD5758">
        <w:t>If these components remain fragmented, a company can produce a machine-readable disclosure without having a machine-traceable evidence chain.</w:t>
      </w:r>
    </w:p>
    <w:p w14:paraId="16AE2D83" w14:textId="77777777" w:rsidR="00DD5758" w:rsidRPr="00DD5758" w:rsidRDefault="00DD5758" w:rsidP="00DD5758">
      <w:r w:rsidRPr="00DD5758">
        <w:t>That creates a structural asymmetry.</w:t>
      </w:r>
    </w:p>
    <w:p w14:paraId="3314C9F1" w14:textId="77777777" w:rsidR="00DD5758" w:rsidRPr="00DD5758" w:rsidRDefault="00DD5758" w:rsidP="00DD5758">
      <w:r w:rsidRPr="00DD5758">
        <w:t>The disclosure layer becomes increasingly standardised.</w:t>
      </w:r>
    </w:p>
    <w:p w14:paraId="3F93E3BD" w14:textId="77777777" w:rsidR="00DD5758" w:rsidRPr="00DD5758" w:rsidRDefault="00DD5758" w:rsidP="00DD5758">
      <w:r w:rsidRPr="00DD5758">
        <w:t>The evidence layer remains distributed across spreadsheets, systems, teams, consultants and undocumented decisions.</w:t>
      </w:r>
    </w:p>
    <w:p w14:paraId="2794A48D" w14:textId="77777777" w:rsidR="00DD5758" w:rsidRPr="00DD5758" w:rsidRDefault="00DD5758" w:rsidP="00DD5758">
      <w:r w:rsidRPr="00DD5758">
        <w:t>This is not a failure of digital taxonomy design.</w:t>
      </w:r>
    </w:p>
    <w:p w14:paraId="0C79755D" w14:textId="77777777" w:rsidR="00DD5758" w:rsidRPr="00DD5758" w:rsidRDefault="00DD5758" w:rsidP="00DD5758">
      <w:r w:rsidRPr="00DD5758">
        <w:t>It is a separate implementation problem that taxonomies reveal but cannot solve alone.</w:t>
      </w:r>
    </w:p>
    <w:p w14:paraId="2A9836D8" w14:textId="77777777" w:rsidR="00DD5758" w:rsidRPr="00DD5758" w:rsidRDefault="00DD5758" w:rsidP="00DD5758">
      <w:r w:rsidRPr="00DD5758">
        <w:lastRenderedPageBreak/>
        <w:t>See content credentials</w:t>
      </w:r>
    </w:p>
    <w:p w14:paraId="2C7CCFF1" w14:textId="7DC2B26C" w:rsidR="00DD5758" w:rsidRPr="00DD5758" w:rsidRDefault="00DD5758" w:rsidP="00DD5758">
      <w:r w:rsidRPr="00DD5758">
        <w:drawing>
          <wp:inline distT="0" distB="0" distL="0" distR="0" wp14:anchorId="56A0AD9E" wp14:editId="33EBF27F">
            <wp:extent cx="5274310" cy="7911465"/>
            <wp:effectExtent l="0" t="0" r="2540" b="0"/>
            <wp:docPr id="2139522963" name="圖片 6" descr="Article cont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mber125" descr="Article conten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91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42115D" w14:textId="77777777" w:rsidR="00DD5758" w:rsidRPr="00DD5758" w:rsidRDefault="00DD5758" w:rsidP="00DD5758">
      <w:r w:rsidRPr="00DD5758">
        <w:t>The evidence chain that must exist before digital tagging.</w:t>
      </w:r>
    </w:p>
    <w:p w14:paraId="40A0FB32" w14:textId="77777777" w:rsidR="00DD5758" w:rsidRPr="00DD5758" w:rsidRDefault="00DD5758" w:rsidP="00DD5758">
      <w:r w:rsidRPr="00DD5758">
        <w:lastRenderedPageBreak/>
        <w:pict w14:anchorId="6D3157C5">
          <v:rect id="_x0000_i1101" style="width:486pt;height:.75pt" o:hrpct="0" o:hralign="center" o:hrstd="t" o:hr="t" fillcolor="#a0a0a0" stroked="f"/>
        </w:pict>
      </w:r>
    </w:p>
    <w:p w14:paraId="7AD181E8" w14:textId="77777777" w:rsidR="00DD5758" w:rsidRPr="00DD5758" w:rsidRDefault="00DD5758" w:rsidP="00DD5758">
      <w:pPr>
        <w:rPr>
          <w:b/>
          <w:bCs/>
        </w:rPr>
      </w:pPr>
      <w:r w:rsidRPr="00DD5758">
        <w:rPr>
          <w:b/>
          <w:bCs/>
        </w:rPr>
        <w:t>A Pre-Disclosure Evidence Infrastructure Perspective</w:t>
      </w:r>
    </w:p>
    <w:p w14:paraId="52718BD4" w14:textId="77777777" w:rsidR="00DD5758" w:rsidRPr="00DD5758" w:rsidRDefault="00DD5758" w:rsidP="00DD5758">
      <w:r w:rsidRPr="00DD5758">
        <w:t>Pre-Disclosure Evidence Infrastructure does not replace accounting or sustainability taxonomies.</w:t>
      </w:r>
    </w:p>
    <w:p w14:paraId="690E293E" w14:textId="77777777" w:rsidR="00DD5758" w:rsidRPr="00DD5758" w:rsidRDefault="00DD5758" w:rsidP="00DD5758">
      <w:r w:rsidRPr="00DD5758">
        <w:t>It addresses a different institutional layer.</w:t>
      </w:r>
    </w:p>
    <w:p w14:paraId="5F511892" w14:textId="77777777" w:rsidR="00DD5758" w:rsidRPr="00DD5758" w:rsidRDefault="00DD5758" w:rsidP="00DD5758">
      <w:r w:rsidRPr="00DD5758">
        <w:t>Its role is to preserve the relationship between:</w:t>
      </w:r>
    </w:p>
    <w:p w14:paraId="45288C34" w14:textId="77777777" w:rsidR="00DD5758" w:rsidRPr="00DD5758" w:rsidRDefault="00DD5758" w:rsidP="00DD5758">
      <w:pPr>
        <w:numPr>
          <w:ilvl w:val="0"/>
          <w:numId w:val="4"/>
        </w:numPr>
      </w:pPr>
      <w:r w:rsidRPr="00DD5758">
        <w:t>the reported claim;</w:t>
      </w:r>
    </w:p>
    <w:p w14:paraId="3F9787B3" w14:textId="77777777" w:rsidR="00DD5758" w:rsidRPr="00DD5758" w:rsidRDefault="00DD5758" w:rsidP="00DD5758">
      <w:pPr>
        <w:numPr>
          <w:ilvl w:val="0"/>
          <w:numId w:val="4"/>
        </w:numPr>
      </w:pPr>
      <w:r w:rsidRPr="00DD5758">
        <w:t>the source evidence;</w:t>
      </w:r>
    </w:p>
    <w:p w14:paraId="333DAB94" w14:textId="77777777" w:rsidR="00DD5758" w:rsidRPr="00DD5758" w:rsidRDefault="00DD5758" w:rsidP="00DD5758">
      <w:pPr>
        <w:numPr>
          <w:ilvl w:val="0"/>
          <w:numId w:val="4"/>
        </w:numPr>
      </w:pPr>
      <w:r w:rsidRPr="00DD5758">
        <w:t>the method used;</w:t>
      </w:r>
    </w:p>
    <w:p w14:paraId="5FEC2687" w14:textId="77777777" w:rsidR="00DD5758" w:rsidRPr="00DD5758" w:rsidRDefault="00DD5758" w:rsidP="00DD5758">
      <w:pPr>
        <w:numPr>
          <w:ilvl w:val="0"/>
          <w:numId w:val="4"/>
        </w:numPr>
      </w:pPr>
      <w:r w:rsidRPr="00DD5758">
        <w:t>the responsible owner;</w:t>
      </w:r>
    </w:p>
    <w:p w14:paraId="018EFA1D" w14:textId="77777777" w:rsidR="00DD5758" w:rsidRPr="00DD5758" w:rsidRDefault="00DD5758" w:rsidP="00DD5758">
      <w:pPr>
        <w:numPr>
          <w:ilvl w:val="0"/>
          <w:numId w:val="4"/>
        </w:numPr>
      </w:pPr>
      <w:r w:rsidRPr="00DD5758">
        <w:t>the applicable reporting requirement;</w:t>
      </w:r>
    </w:p>
    <w:p w14:paraId="651DE1AE" w14:textId="77777777" w:rsidR="00DD5758" w:rsidRPr="00DD5758" w:rsidRDefault="00DD5758" w:rsidP="00DD5758">
      <w:pPr>
        <w:numPr>
          <w:ilvl w:val="0"/>
          <w:numId w:val="4"/>
        </w:numPr>
      </w:pPr>
      <w:r w:rsidRPr="00DD5758">
        <w:t>the control and assurance status; and</w:t>
      </w:r>
    </w:p>
    <w:p w14:paraId="4667C46D" w14:textId="77777777" w:rsidR="00DD5758" w:rsidRPr="00DD5758" w:rsidRDefault="00DD5758" w:rsidP="00DD5758">
      <w:pPr>
        <w:numPr>
          <w:ilvl w:val="0"/>
          <w:numId w:val="4"/>
        </w:numPr>
      </w:pPr>
      <w:r w:rsidRPr="00DD5758">
        <w:t>the version of the information that entered the final disclosure.</w:t>
      </w:r>
    </w:p>
    <w:p w14:paraId="15E76457" w14:textId="77777777" w:rsidR="00DD5758" w:rsidRPr="00DD5758" w:rsidRDefault="00DD5758" w:rsidP="00DD5758">
      <w:r w:rsidRPr="00DD5758">
        <w:t>This relationship becomes more important as digital reporting expands.</w:t>
      </w:r>
    </w:p>
    <w:p w14:paraId="69010FCE" w14:textId="77777777" w:rsidR="00DD5758" w:rsidRPr="00DD5758" w:rsidRDefault="00DD5758" w:rsidP="00DD5758">
      <w:r w:rsidRPr="00DD5758">
        <w:t>Machine-readable disclosures allow information to travel faster across capital markets, regulatory systems and AI-enabled analytical environments.</w:t>
      </w:r>
    </w:p>
    <w:p w14:paraId="68C8467F" w14:textId="77777777" w:rsidR="00DD5758" w:rsidRPr="00DD5758" w:rsidRDefault="00DD5758" w:rsidP="00DD5758">
      <w:r w:rsidRPr="00DD5758">
        <w:t>But faster circulation also increases the cost of disconnected evidence.</w:t>
      </w:r>
    </w:p>
    <w:p w14:paraId="66456F38" w14:textId="77777777" w:rsidR="00DD5758" w:rsidRPr="00DD5758" w:rsidRDefault="00DD5758" w:rsidP="00DD5758">
      <w:r w:rsidRPr="00DD5758">
        <w:t>A number can be extracted without its methodology.</w:t>
      </w:r>
    </w:p>
    <w:p w14:paraId="10C8A591" w14:textId="77777777" w:rsidR="00DD5758" w:rsidRPr="00DD5758" w:rsidRDefault="00DD5758" w:rsidP="00DD5758">
      <w:r w:rsidRPr="00DD5758">
        <w:t>A narrative can be analysed without the judgement record behind it.</w:t>
      </w:r>
    </w:p>
    <w:p w14:paraId="7C846691" w14:textId="77777777" w:rsidR="00DD5758" w:rsidRPr="00DD5758" w:rsidRDefault="00DD5758" w:rsidP="00DD5758">
      <w:r w:rsidRPr="00DD5758">
        <w:t>A disclosure can remain digitally available after its supporting data, boundary or calculation has changed.</w:t>
      </w:r>
    </w:p>
    <w:p w14:paraId="7E5FC008" w14:textId="77777777" w:rsidR="00DD5758" w:rsidRPr="00DD5758" w:rsidRDefault="00DD5758" w:rsidP="00DD5758">
      <w:r w:rsidRPr="00DD5758">
        <w:t>The question is therefore no longer only whether a disclosure can be read by a machine.</w:t>
      </w:r>
    </w:p>
    <w:p w14:paraId="3A5700BF" w14:textId="77777777" w:rsidR="00DD5758" w:rsidRPr="00DD5758" w:rsidRDefault="00DD5758" w:rsidP="00DD5758">
      <w:r w:rsidRPr="00DD5758">
        <w:t>It is whether the institution can reconstruct why that disclosure was produced, from which evidence, under which method and with whose authority.</w:t>
      </w:r>
    </w:p>
    <w:p w14:paraId="36C47362" w14:textId="77777777" w:rsidR="00DD5758" w:rsidRPr="00DD5758" w:rsidRDefault="00DD5758" w:rsidP="00DD5758">
      <w:r w:rsidRPr="00DD5758">
        <w:pict w14:anchorId="19010473">
          <v:rect id="_x0000_i1102" style="width:486pt;height:.75pt" o:hrpct="0" o:hralign="center" o:hrstd="t" o:hr="t" fillcolor="#a0a0a0" stroked="f"/>
        </w:pict>
      </w:r>
    </w:p>
    <w:p w14:paraId="298B41D5" w14:textId="77777777" w:rsidR="00DD5758" w:rsidRPr="00DD5758" w:rsidRDefault="00DD5758" w:rsidP="00DD5758">
      <w:pPr>
        <w:rPr>
          <w:b/>
          <w:bCs/>
        </w:rPr>
      </w:pPr>
      <w:r w:rsidRPr="00DD5758">
        <w:rPr>
          <w:b/>
          <w:bCs/>
        </w:rPr>
        <w:lastRenderedPageBreak/>
        <w:t>Why This Matters for Implementation</w:t>
      </w:r>
    </w:p>
    <w:p w14:paraId="5E6949F1" w14:textId="77777777" w:rsidR="00DD5758" w:rsidRPr="00DD5758" w:rsidRDefault="00DD5758" w:rsidP="00DD5758">
      <w:r w:rsidRPr="00DD5758">
        <w:t>For preparers, digital taxonomy implementation is often treated as a reporting-stage activity.</w:t>
      </w:r>
    </w:p>
    <w:p w14:paraId="084679EC" w14:textId="77777777" w:rsidR="00DD5758" w:rsidRPr="00DD5758" w:rsidRDefault="00DD5758" w:rsidP="00DD5758">
      <w:r w:rsidRPr="00DD5758">
        <w:t>Elements are selected.</w:t>
      </w:r>
    </w:p>
    <w:p w14:paraId="12BFFE45" w14:textId="77777777" w:rsidR="00DD5758" w:rsidRPr="00DD5758" w:rsidRDefault="00DD5758" w:rsidP="00DD5758">
      <w:r w:rsidRPr="00DD5758">
        <w:t>Information is tagged.</w:t>
      </w:r>
    </w:p>
    <w:p w14:paraId="6A8A64FF" w14:textId="77777777" w:rsidR="00DD5758" w:rsidRPr="00DD5758" w:rsidRDefault="00DD5758" w:rsidP="00DD5758">
      <w:r w:rsidRPr="00DD5758">
        <w:t>Extensions are created where necessary.</w:t>
      </w:r>
    </w:p>
    <w:p w14:paraId="5A5172DC" w14:textId="77777777" w:rsidR="00DD5758" w:rsidRPr="00DD5758" w:rsidRDefault="00DD5758" w:rsidP="00DD5758">
      <w:r w:rsidRPr="00DD5758">
        <w:t>Validation is performed before filing.</w:t>
      </w:r>
    </w:p>
    <w:p w14:paraId="01B0552A" w14:textId="77777777" w:rsidR="00DD5758" w:rsidRPr="00DD5758" w:rsidRDefault="00DD5758" w:rsidP="00DD5758">
      <w:r w:rsidRPr="00DD5758">
        <w:t>But if digital reporting is approached only at the final reporting stage, unresolved evidence problems are transferred into the tagged output.</w:t>
      </w:r>
    </w:p>
    <w:p w14:paraId="64BFEDAB" w14:textId="77777777" w:rsidR="00DD5758" w:rsidRPr="00DD5758" w:rsidRDefault="00DD5758" w:rsidP="00DD5758">
      <w:r w:rsidRPr="00DD5758">
        <w:t>A technically valid tag does not correct an inconsistent calculation boundary.</w:t>
      </w:r>
    </w:p>
    <w:p w14:paraId="320DA8EB" w14:textId="77777777" w:rsidR="00DD5758" w:rsidRPr="00DD5758" w:rsidRDefault="00DD5758" w:rsidP="00DD5758">
      <w:r w:rsidRPr="00DD5758">
        <w:t>A well-classified narrative block does not resolve unsupported management judgement.</w:t>
      </w:r>
    </w:p>
    <w:p w14:paraId="51160A26" w14:textId="77777777" w:rsidR="00DD5758" w:rsidRPr="00DD5758" w:rsidRDefault="00DD5758" w:rsidP="00DD5758">
      <w:r w:rsidRPr="00DD5758">
        <w:t>A machine-readable emissions figure does not establish the provenance of its source data.</w:t>
      </w:r>
    </w:p>
    <w:p w14:paraId="55903848" w14:textId="77777777" w:rsidR="00DD5758" w:rsidRPr="00DD5758" w:rsidRDefault="00DD5758" w:rsidP="00DD5758">
      <w:r w:rsidRPr="00DD5758">
        <w:t>Implementation therefore needs to extend upstream.</w:t>
      </w:r>
    </w:p>
    <w:p w14:paraId="18CC1240" w14:textId="77777777" w:rsidR="00DD5758" w:rsidRPr="00DD5758" w:rsidRDefault="00DD5758" w:rsidP="00DD5758">
      <w:r w:rsidRPr="00DD5758">
        <w:t>Financial reporting, sustainability reporting, data governance, internal control, assurance and digital filing teams cannot operate as separate final-mile functions.</w:t>
      </w:r>
    </w:p>
    <w:p w14:paraId="67E4F0E6" w14:textId="77777777" w:rsidR="00DD5758" w:rsidRPr="00DD5758" w:rsidRDefault="00DD5758" w:rsidP="00DD5758">
      <w:r w:rsidRPr="00DD5758">
        <w:t>They need a shared evidence architecture capable of connecting source records to both narrative and numerical disclosures.</w:t>
      </w:r>
    </w:p>
    <w:p w14:paraId="54FA849D" w14:textId="77777777" w:rsidR="00DD5758" w:rsidRPr="00DD5758" w:rsidRDefault="00DD5758" w:rsidP="00DD5758">
      <w:r w:rsidRPr="00DD5758">
        <w:t>This is where digital reporting becomes an institutional design question.</w:t>
      </w:r>
    </w:p>
    <w:p w14:paraId="29BE6BCE" w14:textId="77777777" w:rsidR="00DD5758" w:rsidRPr="00DD5758" w:rsidRDefault="00DD5758" w:rsidP="00DD5758">
      <w:r w:rsidRPr="00DD5758">
        <w:pict w14:anchorId="57146833">
          <v:rect id="_x0000_i1103" style="width:486pt;height:.75pt" o:hrpct="0" o:hralign="center" o:hrstd="t" o:hr="t" fillcolor="#a0a0a0" stroked="f"/>
        </w:pict>
      </w:r>
    </w:p>
    <w:p w14:paraId="093A7F7A" w14:textId="77777777" w:rsidR="00DD5758" w:rsidRPr="00DD5758" w:rsidRDefault="00DD5758" w:rsidP="00DD5758">
      <w:pPr>
        <w:rPr>
          <w:b/>
          <w:bCs/>
        </w:rPr>
      </w:pPr>
      <w:r w:rsidRPr="00DD5758">
        <w:rPr>
          <w:b/>
          <w:bCs/>
        </w:rPr>
        <w:t>Signal of the Week</w:t>
      </w:r>
    </w:p>
    <w:p w14:paraId="2439234B" w14:textId="77777777" w:rsidR="00DD5758" w:rsidRPr="00DD5758" w:rsidRDefault="00DD5758" w:rsidP="00DD5758">
      <w:r w:rsidRPr="00DD5758">
        <w:t>The IASB and ISSB consultations address different taxonomies and different reporting requirements.</w:t>
      </w:r>
    </w:p>
    <w:p w14:paraId="3F0BC206" w14:textId="77777777" w:rsidR="00DD5758" w:rsidRPr="00DD5758" w:rsidRDefault="00DD5758" w:rsidP="00DD5758">
      <w:r w:rsidRPr="00DD5758">
        <w:t>But together they reveal a broader direction.</w:t>
      </w:r>
    </w:p>
    <w:p w14:paraId="411F287C" w14:textId="77777777" w:rsidR="00DD5758" w:rsidRPr="00DD5758" w:rsidRDefault="00DD5758" w:rsidP="00DD5758">
      <w:r w:rsidRPr="00DD5758">
        <w:lastRenderedPageBreak/>
        <w:t>Financial and sustainability disclosures are becoming more structured, searchable and machine-readable.</w:t>
      </w:r>
    </w:p>
    <w:p w14:paraId="636101C0" w14:textId="77777777" w:rsidR="00DD5758" w:rsidRPr="00DD5758" w:rsidRDefault="00DD5758" w:rsidP="00DD5758">
      <w:r w:rsidRPr="00DD5758">
        <w:t>The next constraint may not be the absence of digital tags.</w:t>
      </w:r>
    </w:p>
    <w:p w14:paraId="1B8D0163" w14:textId="77777777" w:rsidR="00DD5758" w:rsidRPr="00DD5758" w:rsidRDefault="00DD5758" w:rsidP="00DD5758">
      <w:r w:rsidRPr="00DD5758">
        <w:t>It may be the absence of a connected evidence chain beneath them.</w:t>
      </w:r>
    </w:p>
    <w:p w14:paraId="0B7AF641" w14:textId="77777777" w:rsidR="00DD5758" w:rsidRPr="00DD5758" w:rsidRDefault="00DD5758" w:rsidP="00DD5758">
      <w:r w:rsidRPr="00DD5758">
        <w:t>Machine-readable disclosure does not automatically create machine-verifiable evidence.</w:t>
      </w:r>
    </w:p>
    <w:p w14:paraId="0745D370" w14:textId="77777777" w:rsidR="00DD5758" w:rsidRPr="00DD5758" w:rsidRDefault="00DD5758" w:rsidP="00DD5758">
      <w:r w:rsidRPr="00DD5758">
        <w:t>As digital reporting advances, institutions may need to invest not only in the structure of their final disclosures, but also in the infrastructure that preserves evidence before disclosure.</w:t>
      </w:r>
    </w:p>
    <w:p w14:paraId="1CCD2F87" w14:textId="77777777" w:rsidR="00DD5758" w:rsidRPr="00DD5758" w:rsidRDefault="00DD5758" w:rsidP="00DD5758">
      <w:r w:rsidRPr="00DD5758">
        <w:t>That is the emerging role of Pre-Disclosure Evidence Infrastructure.</w:t>
      </w:r>
    </w:p>
    <w:p w14:paraId="7757B2BF" w14:textId="77777777" w:rsidR="00F10D07" w:rsidRPr="00DD5758" w:rsidRDefault="00F10D07"/>
    <w:sectPr w:rsidR="00F10D07" w:rsidRPr="00DD575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9634C"/>
    <w:multiLevelType w:val="multilevel"/>
    <w:tmpl w:val="3EBAD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8F5286"/>
    <w:multiLevelType w:val="multilevel"/>
    <w:tmpl w:val="44028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F50060"/>
    <w:multiLevelType w:val="multilevel"/>
    <w:tmpl w:val="46000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774126"/>
    <w:multiLevelType w:val="multilevel"/>
    <w:tmpl w:val="FEDA9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2263175">
    <w:abstractNumId w:val="2"/>
  </w:num>
  <w:num w:numId="2" w16cid:durableId="1323511725">
    <w:abstractNumId w:val="3"/>
  </w:num>
  <w:num w:numId="3" w16cid:durableId="84157495">
    <w:abstractNumId w:val="1"/>
  </w:num>
  <w:num w:numId="4" w16cid:durableId="1309550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406"/>
    <w:rsid w:val="00706406"/>
    <w:rsid w:val="007E240A"/>
    <w:rsid w:val="00B159C3"/>
    <w:rsid w:val="00DD5758"/>
    <w:rsid w:val="00DE49E1"/>
    <w:rsid w:val="00F10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F7AC3A"/>
  <w15:chartTrackingRefBased/>
  <w15:docId w15:val="{93757555-3327-4238-822F-70926D630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0640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64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6406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6406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64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6406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6406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6406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6406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70640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7064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706406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7064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706406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706406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706406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706406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70640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0640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706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0640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70640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064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70640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0640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0640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064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70640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06406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DD5758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DD57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1432</Words>
  <Characters>8165</Characters>
  <Application>Microsoft Office Word</Application>
  <DocSecurity>0</DocSecurity>
  <Lines>68</Lines>
  <Paragraphs>19</Paragraphs>
  <ScaleCrop>false</ScaleCrop>
  <Company/>
  <LinksUpToDate>false</LinksUpToDate>
  <CharactersWithSpaces>9578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 Anderson</dc:creator>
  <cp:keywords/>
  <dc:description/>
  <cp:lastModifiedBy>Yu Anderson</cp:lastModifiedBy>
  <cp:revision>2</cp:revision>
  <dcterms:created xsi:type="dcterms:W3CDTF">2026-08-28T10:53:00Z</dcterms:created>
  <dcterms:modified xsi:type="dcterms:W3CDTF">2026-08-28T10:54:00Z</dcterms:modified>
</cp:coreProperties>
</file>