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36926" w14:textId="77777777" w:rsidR="00737856" w:rsidRDefault="007E2035" w:rsidP="007E2035">
      <w:pPr>
        <w:rPr>
          <w:b/>
          <w:bCs/>
        </w:rPr>
      </w:pPr>
      <w:r w:rsidRPr="007E2035">
        <w:rPr>
          <w:b/>
          <w:bCs/>
        </w:rPr>
        <w:t xml:space="preserve">EVIDENCE INFRASTRUCTURE SIGNAL · 015 </w:t>
      </w:r>
    </w:p>
    <w:p w14:paraId="04D36910" w14:textId="3CB52D30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THE SCALE-UP GAP IS AN EVIDENCE ALLOCATION PROBLEM</w:t>
      </w:r>
    </w:p>
    <w:p w14:paraId="3266195E" w14:textId="77777777" w:rsidR="007E2035" w:rsidRPr="007E2035" w:rsidRDefault="007E2035" w:rsidP="007E2035">
      <w:r w:rsidRPr="007E2035">
        <w:t>August 14, 2026</w:t>
      </w:r>
    </w:p>
    <w:p w14:paraId="11E807EA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Why Global Scale-Up Dynamics Are Moving Beyond Early Innovation</w:t>
      </w:r>
    </w:p>
    <w:p w14:paraId="6CC23472" w14:textId="77777777" w:rsidR="007E2035" w:rsidRPr="007E2035" w:rsidRDefault="00000000" w:rsidP="007E2035">
      <w:r>
        <w:pict w14:anchorId="037A9B16">
          <v:rect id="_x0000_i1025" style="width:486pt;height:.75pt" o:hrpct="0" o:hralign="center" o:hrstd="t" o:hr="t" fillcolor="#a0a0a0" stroked="f"/>
        </w:pict>
      </w:r>
    </w:p>
    <w:p w14:paraId="7162FBA3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Evidence Infrastructure Signal</w:t>
      </w:r>
    </w:p>
    <w:p w14:paraId="7D5C90BA" w14:textId="77777777" w:rsidR="007E2035" w:rsidRPr="007E2035" w:rsidRDefault="007E2035" w:rsidP="007E2035">
      <w:r w:rsidRPr="007E2035">
        <w:t>Evidence Infrastructure Signal is a weekly publication series exploring structural developments across sustainability, governance, implementation, interoperability and evidence ecosystems.</w:t>
      </w:r>
    </w:p>
    <w:p w14:paraId="63291ACA" w14:textId="77777777" w:rsidR="007E2035" w:rsidRPr="007E2035" w:rsidRDefault="007E2035" w:rsidP="007E2035">
      <w:r w:rsidRPr="007E2035">
        <w:t xml:space="preserve">Rather than </w:t>
      </w:r>
      <w:proofErr w:type="spellStart"/>
      <w:r w:rsidRPr="007E2035">
        <w:t>analysing</w:t>
      </w:r>
      <w:proofErr w:type="spellEnd"/>
      <w:r w:rsidRPr="007E2035">
        <w:t xml:space="preserve"> individual announcements in isolation, each edition identifies broader institutional signals emerging across global sustainability and corporate governance initiatives.</w:t>
      </w:r>
    </w:p>
    <w:p w14:paraId="3AF5B4E3" w14:textId="77777777" w:rsidR="007E2035" w:rsidRPr="007E2035" w:rsidRDefault="007E2035" w:rsidP="007E2035">
      <w:r w:rsidRPr="007E2035">
        <w:t>The objective is not to predict the future.</w:t>
      </w:r>
    </w:p>
    <w:p w14:paraId="7F294BD1" w14:textId="77777777" w:rsidR="007E2035" w:rsidRPr="007E2035" w:rsidRDefault="007E2035" w:rsidP="007E2035">
      <w:r w:rsidRPr="007E2035">
        <w:t>It is to better understand where governance and market systems appear to be evolving.</w:t>
      </w:r>
    </w:p>
    <w:p w14:paraId="6E4E8B95" w14:textId="77777777" w:rsidR="007E2035" w:rsidRPr="007E2035" w:rsidRDefault="007E2035" w:rsidP="007E2035">
      <w:r w:rsidRPr="007E2035">
        <w:rPr>
          <w:i/>
          <w:iCs/>
        </w:rPr>
        <w:t>Illustrative ecosystem observations only.</w:t>
      </w:r>
    </w:p>
    <w:p w14:paraId="564DBA4E" w14:textId="77777777" w:rsidR="007E2035" w:rsidRPr="007E2035" w:rsidRDefault="00000000" w:rsidP="007E2035">
      <w:r>
        <w:pict w14:anchorId="119C4FD2">
          <v:rect id="_x0000_i1026" style="width:486pt;height:.75pt" o:hrpct="0" o:hralign="center" o:hrstd="t" o:hr="t" fillcolor="#a0a0a0" stroked="f"/>
        </w:pict>
      </w:r>
    </w:p>
    <w:p w14:paraId="7EF120D1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Opening</w:t>
      </w:r>
    </w:p>
    <w:p w14:paraId="0384F401" w14:textId="77777777" w:rsidR="007E2035" w:rsidRPr="007E2035" w:rsidRDefault="007E2035" w:rsidP="007E2035">
      <w:r w:rsidRPr="007E2035">
        <w:t>In August 2026, the OECD Directorate for Science, Technology and Innovation released a major empirical study examining which innovative start-ups achieve scale in the European Union and the United States.</w:t>
      </w:r>
    </w:p>
    <w:p w14:paraId="1E918A6E" w14:textId="77777777" w:rsidR="007E2035" w:rsidRPr="007E2035" w:rsidRDefault="007E2035" w:rsidP="007E2035">
      <w:r w:rsidRPr="007E2035">
        <w:t xml:space="preserve">Drawing on nearly 200,000 ventures founded between 2000 and 2025, the working paper examines innovation, financing, acquisitions, managerial </w:t>
      </w:r>
      <w:proofErr w:type="spellStart"/>
      <w:r w:rsidRPr="007E2035">
        <w:t>professionalisation</w:t>
      </w:r>
      <w:proofErr w:type="spellEnd"/>
      <w:r w:rsidRPr="007E2035">
        <w:t xml:space="preserve"> and ecosystem spillovers.</w:t>
      </w:r>
    </w:p>
    <w:p w14:paraId="50785D0D" w14:textId="77777777" w:rsidR="007E2035" w:rsidRPr="007E2035" w:rsidRDefault="007E2035" w:rsidP="007E2035">
      <w:r w:rsidRPr="007E2035">
        <w:t>At first glance, the findings reinforce a familiar policy narrative.</w:t>
      </w:r>
    </w:p>
    <w:p w14:paraId="34969351" w14:textId="77777777" w:rsidR="007E2035" w:rsidRPr="007E2035" w:rsidRDefault="007E2035" w:rsidP="007E2035">
      <w:r w:rsidRPr="007E2035">
        <w:t>US ventures scale faster.</w:t>
      </w:r>
    </w:p>
    <w:p w14:paraId="0F9E4ADE" w14:textId="77777777" w:rsidR="007E2035" w:rsidRPr="007E2035" w:rsidRDefault="007E2035" w:rsidP="007E2035">
      <w:r w:rsidRPr="007E2035">
        <w:t>Late-stage capital is deeper in the United States.</w:t>
      </w:r>
    </w:p>
    <w:p w14:paraId="46AAE237" w14:textId="77777777" w:rsidR="007E2035" w:rsidRPr="007E2035" w:rsidRDefault="007E2035" w:rsidP="007E2035">
      <w:r w:rsidRPr="007E2035">
        <w:lastRenderedPageBreak/>
        <w:t>European growth-oriented firms face longer paths from invention to scale.</w:t>
      </w:r>
    </w:p>
    <w:p w14:paraId="24B54155" w14:textId="77777777" w:rsidR="007E2035" w:rsidRPr="007E2035" w:rsidRDefault="007E2035" w:rsidP="007E2035">
      <w:r w:rsidRPr="007E2035">
        <w:t>But beneath these aggregate differences lies a more important institutional signal.</w:t>
      </w:r>
    </w:p>
    <w:p w14:paraId="58981C30" w14:textId="77777777" w:rsidR="007E2035" w:rsidRPr="007E2035" w:rsidRDefault="007E2035" w:rsidP="007E2035">
      <w:r w:rsidRPr="007E2035">
        <w:t>The scale-up gap does not appear to begin with a simple absence of inventive capacity.</w:t>
      </w:r>
    </w:p>
    <w:p w14:paraId="5E7E541F" w14:textId="77777777" w:rsidR="007E2035" w:rsidRPr="007E2035" w:rsidRDefault="007E2035" w:rsidP="007E2035">
      <w:r w:rsidRPr="007E2035">
        <w:t>Among firms that patent, European scale-ups display invention outcomes comparable to, and in some measures stronger than, their US counterparts.</w:t>
      </w:r>
    </w:p>
    <w:p w14:paraId="2F6E1EAD" w14:textId="77777777" w:rsidR="007E2035" w:rsidRPr="007E2035" w:rsidRDefault="007E2035" w:rsidP="007E2035">
      <w:r w:rsidRPr="007E2035">
        <w:t>The greater friction emerges after invention.</w:t>
      </w:r>
    </w:p>
    <w:p w14:paraId="2E9B9E87" w14:textId="77777777" w:rsidR="007E2035" w:rsidRPr="007E2035" w:rsidRDefault="007E2035" w:rsidP="007E2035">
      <w:r w:rsidRPr="007E2035">
        <w:t>When technical potential must become commercial traction.</w:t>
      </w:r>
    </w:p>
    <w:p w14:paraId="231D660E" w14:textId="77777777" w:rsidR="007E2035" w:rsidRPr="007E2035" w:rsidRDefault="007E2035" w:rsidP="007E2035">
      <w:r w:rsidRPr="007E2035">
        <w:t>When traction must become investment credibility.</w:t>
      </w:r>
    </w:p>
    <w:p w14:paraId="39E0E5BA" w14:textId="77777777" w:rsidR="007E2035" w:rsidRPr="007E2035" w:rsidRDefault="007E2035" w:rsidP="007E2035">
      <w:r w:rsidRPr="007E2035">
        <w:t>When capital must support expansion.</w:t>
      </w:r>
    </w:p>
    <w:p w14:paraId="03D9E4B8" w14:textId="77777777" w:rsidR="007E2035" w:rsidRPr="007E2035" w:rsidRDefault="007E2035" w:rsidP="007E2035">
      <w:r w:rsidRPr="007E2035">
        <w:t>When expansion requires professional management.</w:t>
      </w:r>
    </w:p>
    <w:p w14:paraId="592819A5" w14:textId="77777777" w:rsidR="007E2035" w:rsidRPr="007E2035" w:rsidRDefault="007E2035" w:rsidP="007E2035">
      <w:r w:rsidRPr="007E2035">
        <w:t>And when individual success must become ecosystem capability.</w:t>
      </w:r>
    </w:p>
    <w:p w14:paraId="726CAE9F" w14:textId="77777777" w:rsidR="007E2035" w:rsidRPr="007E2035" w:rsidRDefault="007E2035" w:rsidP="007E2035">
      <w:r w:rsidRPr="007E2035">
        <w:rPr>
          <w:b/>
          <w:bCs/>
        </w:rPr>
        <w:t>Evidence of invention is not evidence of scalability.</w:t>
      </w:r>
    </w:p>
    <w:p w14:paraId="4E74083D" w14:textId="77777777" w:rsidR="007E2035" w:rsidRPr="007E2035" w:rsidRDefault="007E2035" w:rsidP="007E2035">
      <w:r w:rsidRPr="007E2035">
        <w:t>Viewed through an Evidence Infrastructure perspective, the scale-up gap may therefore also be understood as an evidence allocation problem.</w:t>
      </w:r>
    </w:p>
    <w:p w14:paraId="546CFD60" w14:textId="77777777" w:rsidR="007E2035" w:rsidRPr="007E2035" w:rsidRDefault="007E2035" w:rsidP="007E2035">
      <w:r w:rsidRPr="007E2035">
        <w:t>Not simply whether information exists.</w:t>
      </w:r>
    </w:p>
    <w:p w14:paraId="74413752" w14:textId="77777777" w:rsidR="007E2035" w:rsidRPr="007E2035" w:rsidRDefault="007E2035" w:rsidP="007E2035">
      <w:r w:rsidRPr="007E2035">
        <w:t>But whether evidence of institutional readiness can reach the right decision-maker, in a form that can be understood and relied upon, at the stage when the consequences of reliance become greater.</w:t>
      </w:r>
    </w:p>
    <w:p w14:paraId="04F430C4" w14:textId="77777777" w:rsidR="007E2035" w:rsidRPr="007E2035" w:rsidRDefault="00000000" w:rsidP="007E2035">
      <w:r>
        <w:pict w14:anchorId="34AEE0F0">
          <v:rect id="_x0000_i1027" style="width:486pt;height:.75pt" o:hrpct="0" o:hralign="center" o:hrstd="t" o:hr="t" fillcolor="#a0a0a0" stroked="f"/>
        </w:pict>
      </w:r>
    </w:p>
    <w:p w14:paraId="26FF78F1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Recent Developments</w:t>
      </w:r>
    </w:p>
    <w:p w14:paraId="31CF6FB2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1. The Gap Emerges After Invention</w:t>
      </w:r>
    </w:p>
    <w:p w14:paraId="7DFCD7B4" w14:textId="77777777" w:rsidR="007E2035" w:rsidRPr="007E2035" w:rsidRDefault="007E2035" w:rsidP="007E2035">
      <w:r w:rsidRPr="007E2035">
        <w:t>The OECD analysis indicates that European scale-ups are not simply failing to invent.</w:t>
      </w:r>
    </w:p>
    <w:p w14:paraId="67EBFEA3" w14:textId="77777777" w:rsidR="007E2035" w:rsidRPr="007E2035" w:rsidRDefault="007E2035" w:rsidP="007E2035">
      <w:r w:rsidRPr="007E2035">
        <w:t xml:space="preserve">Although a smaller proportion of EU firms patent, those that do patent generate </w:t>
      </w:r>
      <w:r w:rsidRPr="007E2035">
        <w:lastRenderedPageBreak/>
        <w:t>invention stocks comparable to, or greater than, similar US firms. European ventures also tend to begin patenting earlier.</w:t>
      </w:r>
    </w:p>
    <w:p w14:paraId="6394A2EE" w14:textId="77777777" w:rsidR="007E2035" w:rsidRPr="007E2035" w:rsidRDefault="007E2035" w:rsidP="007E2035">
      <w:r w:rsidRPr="007E2035">
        <w:t xml:space="preserve">Yet among patenting firms, the time from first patent filing to scale-up is approximately </w:t>
      </w:r>
      <w:r w:rsidRPr="007E2035">
        <w:rPr>
          <w:b/>
          <w:bCs/>
        </w:rPr>
        <w:t>1.49 years longer in the European Union than in the United States</w:t>
      </w:r>
      <w:r w:rsidRPr="007E2035">
        <w:t>.</w:t>
      </w:r>
    </w:p>
    <w:p w14:paraId="583B7DFE" w14:textId="77777777" w:rsidR="007E2035" w:rsidRPr="007E2035" w:rsidRDefault="007E2035" w:rsidP="007E2035">
      <w:r w:rsidRPr="007E2035">
        <w:t>This distinction matters.</w:t>
      </w:r>
    </w:p>
    <w:p w14:paraId="7D5D6AF0" w14:textId="77777777" w:rsidR="007E2035" w:rsidRPr="007E2035" w:rsidRDefault="007E2035" w:rsidP="007E2035">
      <w:r w:rsidRPr="007E2035">
        <w:t>A patent can establish that an invention exists.</w:t>
      </w:r>
    </w:p>
    <w:p w14:paraId="03DC6816" w14:textId="77777777" w:rsidR="007E2035" w:rsidRPr="007E2035" w:rsidRDefault="007E2035" w:rsidP="007E2035">
      <w:r w:rsidRPr="007E2035">
        <w:t xml:space="preserve">It does not establish that the enterprise is ready to </w:t>
      </w:r>
      <w:proofErr w:type="spellStart"/>
      <w:r w:rsidRPr="007E2035">
        <w:t>commercialise</w:t>
      </w:r>
      <w:proofErr w:type="spellEnd"/>
      <w:r w:rsidRPr="007E2035">
        <w:t xml:space="preserve"> it across markets, absorb large-scale capital or execute sustained </w:t>
      </w:r>
      <w:proofErr w:type="spellStart"/>
      <w:r w:rsidRPr="007E2035">
        <w:t>organisational</w:t>
      </w:r>
      <w:proofErr w:type="spellEnd"/>
      <w:r w:rsidRPr="007E2035">
        <w:t xml:space="preserve"> growth.</w:t>
      </w:r>
    </w:p>
    <w:p w14:paraId="3991C0E0" w14:textId="77777777" w:rsidR="007E2035" w:rsidRPr="007E2035" w:rsidRDefault="007E2035" w:rsidP="007E2035">
      <w:r w:rsidRPr="007E2035">
        <w:rPr>
          <w:b/>
          <w:bCs/>
        </w:rPr>
        <w:t>Evidence of invention is not evidence of scalability.</w:t>
      </w:r>
    </w:p>
    <w:p w14:paraId="27A123A6" w14:textId="77777777" w:rsidR="007E2035" w:rsidRPr="007E2035" w:rsidRDefault="007E2035" w:rsidP="007E2035">
      <w:r w:rsidRPr="007E2035">
        <w:t>The emerging question is therefore no longer only:</w:t>
      </w:r>
    </w:p>
    <w:p w14:paraId="6BE15BB6" w14:textId="77777777" w:rsidR="007E2035" w:rsidRPr="007E2035" w:rsidRDefault="007E2035" w:rsidP="007E2035">
      <w:r w:rsidRPr="007E2035">
        <w:t>How can more inventions be created?</w:t>
      </w:r>
    </w:p>
    <w:p w14:paraId="3F884F1A" w14:textId="77777777" w:rsidR="007E2035" w:rsidRPr="007E2035" w:rsidRDefault="007E2035" w:rsidP="007E2035">
      <w:r w:rsidRPr="007E2035">
        <w:t>It is also:</w:t>
      </w:r>
    </w:p>
    <w:p w14:paraId="6B4F6731" w14:textId="77777777" w:rsidR="007E2035" w:rsidRPr="007E2035" w:rsidRDefault="007E2035" w:rsidP="007E2035">
      <w:r w:rsidRPr="007E2035">
        <w:t>What enables credible inventions to move from technical potential to institutional scale?</w:t>
      </w:r>
    </w:p>
    <w:p w14:paraId="6036BF54" w14:textId="77777777" w:rsidR="007E2035" w:rsidRPr="007E2035" w:rsidRDefault="007E2035" w:rsidP="007E2035">
      <w:r w:rsidRPr="007E2035">
        <w:t>See content credentials</w:t>
      </w:r>
    </w:p>
    <w:p w14:paraId="2F56F586" w14:textId="0A71DDE6" w:rsidR="007E2035" w:rsidRPr="007E2035" w:rsidRDefault="007E2035" w:rsidP="007E2035">
      <w:r w:rsidRPr="007E2035">
        <w:rPr>
          <w:noProof/>
        </w:rPr>
        <w:lastRenderedPageBreak/>
        <w:drawing>
          <wp:inline distT="0" distB="0" distL="0" distR="0" wp14:anchorId="33F83320" wp14:editId="363AD7B4">
            <wp:extent cx="5274310" cy="7911465"/>
            <wp:effectExtent l="0" t="0" r="2540" b="0"/>
            <wp:docPr id="626662130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77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5E0C2" w14:textId="77777777" w:rsidR="007E2035" w:rsidRPr="007E2035" w:rsidRDefault="007E2035" w:rsidP="007E2035">
      <w:r w:rsidRPr="007E2035">
        <w:t>From invention to scale: the post-patent capability transition.</w:t>
      </w:r>
    </w:p>
    <w:p w14:paraId="005C4C78" w14:textId="77777777" w:rsidR="007E2035" w:rsidRPr="007E2035" w:rsidRDefault="00000000" w:rsidP="007E2035">
      <w:r>
        <w:pict w14:anchorId="53CE2798">
          <v:rect id="_x0000_i1028" style="width:486pt;height:.75pt" o:hrpct="0" o:hralign="center" o:hrstd="t" o:hr="t" fillcolor="#a0a0a0" stroked="f"/>
        </w:pict>
      </w:r>
    </w:p>
    <w:p w14:paraId="6FEE50D6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lastRenderedPageBreak/>
        <w:t>2. Capital Divergence Appears at the Upper Tail</w:t>
      </w:r>
    </w:p>
    <w:p w14:paraId="24A01942" w14:textId="77777777" w:rsidR="007E2035" w:rsidRPr="007E2035" w:rsidRDefault="007E2035" w:rsidP="007E2035">
      <w:r w:rsidRPr="007E2035">
        <w:t>The OECD findings suggest that early financing trajectories are broadly similar across the two regions.</w:t>
      </w:r>
    </w:p>
    <w:p w14:paraId="2CF5B00D" w14:textId="77777777" w:rsidR="007E2035" w:rsidRPr="007E2035" w:rsidRDefault="007E2035" w:rsidP="007E2035">
      <w:r w:rsidRPr="007E2035">
        <w:t>The sharpest divergence emerges later.</w:t>
      </w:r>
    </w:p>
    <w:p w14:paraId="686FA99A" w14:textId="77777777" w:rsidR="007E2035" w:rsidRPr="007E2035" w:rsidRDefault="007E2035" w:rsidP="007E2035">
      <w:r w:rsidRPr="007E2035">
        <w:t>A relatively small group of US rising superstars secures exceptionally large late-stage financing rounds and reaches the highest valuation thresholds.</w:t>
      </w:r>
    </w:p>
    <w:p w14:paraId="1ECA72B5" w14:textId="77777777" w:rsidR="007E2035" w:rsidRPr="007E2035" w:rsidRDefault="007E2035" w:rsidP="007E2035">
      <w:r w:rsidRPr="007E2035">
        <w:t>This is not merely a question of whether capital exists.</w:t>
      </w:r>
    </w:p>
    <w:p w14:paraId="579F4399" w14:textId="77777777" w:rsidR="007E2035" w:rsidRPr="007E2035" w:rsidRDefault="007E2035" w:rsidP="007E2035">
      <w:r w:rsidRPr="007E2035">
        <w:t>As financing decisions become more consequential, the evidence required to support them also changes.</w:t>
      </w:r>
    </w:p>
    <w:p w14:paraId="13F1271E" w14:textId="77777777" w:rsidR="007E2035" w:rsidRPr="007E2035" w:rsidRDefault="007E2035" w:rsidP="007E2035">
      <w:r w:rsidRPr="007E2035">
        <w:t>Technical promise is no longer enough.</w:t>
      </w:r>
    </w:p>
    <w:p w14:paraId="257657E8" w14:textId="77777777" w:rsidR="007E2035" w:rsidRPr="007E2035" w:rsidRDefault="007E2035" w:rsidP="007E2035">
      <w:r w:rsidRPr="007E2035">
        <w:t>Investors increasingly need visibility into commercial traction, financial performance, governance capacity and execution readiness.</w:t>
      </w:r>
    </w:p>
    <w:p w14:paraId="481726FD" w14:textId="77777777" w:rsidR="007E2035" w:rsidRPr="007E2035" w:rsidRDefault="007E2035" w:rsidP="007E2035">
      <w:r w:rsidRPr="007E2035">
        <w:t>Early-stage investment may tolerate greater uncertainty.</w:t>
      </w:r>
    </w:p>
    <w:p w14:paraId="3B3F8B3B" w14:textId="77777777" w:rsidR="007E2035" w:rsidRPr="007E2035" w:rsidRDefault="007E2035" w:rsidP="007E2035">
      <w:r w:rsidRPr="007E2035">
        <w:t>Late-stage capital requires information capable of supporting more consequential institutional decisions.</w:t>
      </w:r>
    </w:p>
    <w:p w14:paraId="0FCD2FAD" w14:textId="77777777" w:rsidR="007E2035" w:rsidRPr="007E2035" w:rsidRDefault="007E2035" w:rsidP="007E2035">
      <w:r w:rsidRPr="007E2035">
        <w:t>The allocation of capital therefore increasingly depends upon the allocation of decision-ready evidence.</w:t>
      </w:r>
    </w:p>
    <w:p w14:paraId="4DAAC023" w14:textId="77777777" w:rsidR="007E2035" w:rsidRPr="007E2035" w:rsidRDefault="00000000" w:rsidP="007E2035">
      <w:r>
        <w:pict w14:anchorId="26D1CB4F">
          <v:rect id="_x0000_i1029" style="width:486pt;height:.75pt" o:hrpct="0" o:hralign="center" o:hrstd="t" o:hr="t" fillcolor="#a0a0a0" stroked="f"/>
        </w:pict>
      </w:r>
    </w:p>
    <w:p w14:paraId="2A99D2B6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3. Acquisitions Function as Scaling Infrastructure</w:t>
      </w:r>
    </w:p>
    <w:p w14:paraId="6A355B58" w14:textId="77777777" w:rsidR="007E2035" w:rsidRPr="007E2035" w:rsidRDefault="007E2035" w:rsidP="007E2035">
      <w:r w:rsidRPr="007E2035">
        <w:t>The OECD study also identifies acquisitions as an important part of the scale-up process.</w:t>
      </w:r>
    </w:p>
    <w:p w14:paraId="1BFE26E6" w14:textId="77777777" w:rsidR="007E2035" w:rsidRPr="007E2035" w:rsidRDefault="007E2035" w:rsidP="007E2035">
      <w:r w:rsidRPr="007E2035">
        <w:t>US scale-ups conduct most acquisitions within a large domestic market, while European scale-ups rely more heavily on transactions across national and regional boundaries.</w:t>
      </w:r>
    </w:p>
    <w:p w14:paraId="0026F690" w14:textId="77777777" w:rsidR="007E2035" w:rsidRPr="007E2035" w:rsidRDefault="007E2035" w:rsidP="007E2035">
      <w:r w:rsidRPr="007E2035">
        <w:t>Cross-border growth introduces additional institutional complexity.</w:t>
      </w:r>
    </w:p>
    <w:p w14:paraId="71CD9DD8" w14:textId="77777777" w:rsidR="007E2035" w:rsidRPr="007E2035" w:rsidRDefault="007E2035" w:rsidP="007E2035">
      <w:r w:rsidRPr="007E2035">
        <w:t>Legal environments differ.</w:t>
      </w:r>
    </w:p>
    <w:p w14:paraId="782D55C3" w14:textId="77777777" w:rsidR="007E2035" w:rsidRPr="007E2035" w:rsidRDefault="007E2035" w:rsidP="007E2035">
      <w:r w:rsidRPr="007E2035">
        <w:t>Operational systems differ.</w:t>
      </w:r>
    </w:p>
    <w:p w14:paraId="7E401073" w14:textId="77777777" w:rsidR="007E2035" w:rsidRPr="007E2035" w:rsidRDefault="007E2035" w:rsidP="007E2035">
      <w:r w:rsidRPr="007E2035">
        <w:lastRenderedPageBreak/>
        <w:t>Definitions differ.</w:t>
      </w:r>
    </w:p>
    <w:p w14:paraId="7AC3FA4B" w14:textId="77777777" w:rsidR="007E2035" w:rsidRPr="007E2035" w:rsidRDefault="007E2035" w:rsidP="007E2035">
      <w:r w:rsidRPr="007E2035">
        <w:t>Data structures differ.</w:t>
      </w:r>
    </w:p>
    <w:p w14:paraId="4B660C73" w14:textId="77777777" w:rsidR="007E2035" w:rsidRPr="007E2035" w:rsidRDefault="007E2035" w:rsidP="007E2035">
      <w:r w:rsidRPr="007E2035">
        <w:t>Evidence generated within one company or jurisdiction may not remain immediately intelligible after an acquisition.</w:t>
      </w:r>
    </w:p>
    <w:p w14:paraId="24F885B3" w14:textId="77777777" w:rsidR="007E2035" w:rsidRPr="007E2035" w:rsidRDefault="007E2035" w:rsidP="007E2035">
      <w:r w:rsidRPr="007E2035">
        <w:t>In this environment, interoperability becomes more than a reporting objective.</w:t>
      </w:r>
    </w:p>
    <w:p w14:paraId="6D2DE969" w14:textId="77777777" w:rsidR="007E2035" w:rsidRPr="007E2035" w:rsidRDefault="007E2035" w:rsidP="007E2035">
      <w:r w:rsidRPr="007E2035">
        <w:t>It becomes part of the infrastructure of expansion.</w:t>
      </w:r>
    </w:p>
    <w:p w14:paraId="156042A1" w14:textId="77777777" w:rsidR="007E2035" w:rsidRPr="007E2035" w:rsidRDefault="007E2035" w:rsidP="007E2035">
      <w:r w:rsidRPr="007E2035">
        <w:t>The ability to preserve evidence continuity across entities, systems and jurisdictions may influence whether inorganic growth creates scale or creates fragmentation.</w:t>
      </w:r>
    </w:p>
    <w:p w14:paraId="28E8DA1B" w14:textId="77777777" w:rsidR="007E2035" w:rsidRPr="007E2035" w:rsidRDefault="00000000" w:rsidP="007E2035">
      <w:r>
        <w:pict w14:anchorId="59716E6A">
          <v:rect id="_x0000_i1030" style="width:486pt;height:.75pt" o:hrpct="0" o:hralign="center" o:hrstd="t" o:hr="t" fillcolor="#a0a0a0" stroked="f"/>
        </w:pict>
      </w:r>
    </w:p>
    <w:p w14:paraId="0803F975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 xml:space="preserve">4. </w:t>
      </w:r>
      <w:proofErr w:type="spellStart"/>
      <w:r w:rsidRPr="007E2035">
        <w:rPr>
          <w:b/>
          <w:bCs/>
        </w:rPr>
        <w:t>Professionalisation</w:t>
      </w:r>
      <w:proofErr w:type="spellEnd"/>
      <w:r w:rsidRPr="007E2035">
        <w:rPr>
          <w:b/>
          <w:bCs/>
        </w:rPr>
        <w:t xml:space="preserve"> Is an Institutional Event</w:t>
      </w:r>
    </w:p>
    <w:p w14:paraId="1B85A119" w14:textId="77777777" w:rsidR="007E2035" w:rsidRPr="007E2035" w:rsidRDefault="007E2035" w:rsidP="007E2035">
      <w:r w:rsidRPr="007E2035">
        <w:t>One of the OECD paper's most notable findings concerns external executive talent.</w:t>
      </w:r>
    </w:p>
    <w:p w14:paraId="7081FA45" w14:textId="77777777" w:rsidR="007E2035" w:rsidRPr="007E2035" w:rsidRDefault="007E2035" w:rsidP="007E2035">
      <w:r w:rsidRPr="007E2035">
        <w:t>The appointment of an external Chief Financial Officer is associated with reaching scale more than one year earlier.</w:t>
      </w:r>
    </w:p>
    <w:p w14:paraId="456B2021" w14:textId="77777777" w:rsidR="007E2035" w:rsidRPr="007E2035" w:rsidRDefault="007E2035" w:rsidP="007E2035">
      <w:r w:rsidRPr="007E2035">
        <w:t>This association should not be interpreted as evidence that appointing a CFO directly causes scale.</w:t>
      </w:r>
    </w:p>
    <w:p w14:paraId="39BC5D97" w14:textId="77777777" w:rsidR="007E2035" w:rsidRPr="007E2035" w:rsidRDefault="007E2035" w:rsidP="007E2035">
      <w:r w:rsidRPr="007E2035">
        <w:t xml:space="preserve">But it highlights the institutional significance of managerial </w:t>
      </w:r>
      <w:proofErr w:type="spellStart"/>
      <w:r w:rsidRPr="007E2035">
        <w:t>professionalisation</w:t>
      </w:r>
      <w:proofErr w:type="spellEnd"/>
      <w:r w:rsidRPr="007E2035">
        <w:t>.</w:t>
      </w:r>
    </w:p>
    <w:p w14:paraId="0A5F4E43" w14:textId="77777777" w:rsidR="007E2035" w:rsidRPr="007E2035" w:rsidRDefault="007E2035" w:rsidP="007E2035">
      <w:r w:rsidRPr="007E2035">
        <w:t xml:space="preserve">Founder-led </w:t>
      </w:r>
      <w:proofErr w:type="spellStart"/>
      <w:r w:rsidRPr="007E2035">
        <w:t>organisations</w:t>
      </w:r>
      <w:proofErr w:type="spellEnd"/>
      <w:r w:rsidRPr="007E2035">
        <w:t xml:space="preserve"> can operate through concentrated knowledge, informal communication and fragmented systems.</w:t>
      </w:r>
    </w:p>
    <w:p w14:paraId="054A231B" w14:textId="77777777" w:rsidR="007E2035" w:rsidRPr="007E2035" w:rsidRDefault="007E2035" w:rsidP="007E2035">
      <w:r w:rsidRPr="007E2035">
        <w:t>That model may support early innovation.</w:t>
      </w:r>
    </w:p>
    <w:p w14:paraId="08317038" w14:textId="77777777" w:rsidR="007E2035" w:rsidRPr="007E2035" w:rsidRDefault="007E2035" w:rsidP="007E2035">
      <w:r w:rsidRPr="007E2035">
        <w:t xml:space="preserve">It becomes increasingly difficult to sustain as the </w:t>
      </w:r>
      <w:proofErr w:type="spellStart"/>
      <w:r w:rsidRPr="007E2035">
        <w:t>organisation</w:t>
      </w:r>
      <w:proofErr w:type="spellEnd"/>
      <w:r w:rsidRPr="007E2035">
        <w:t xml:space="preserve"> attracts institutional capital, enters new markets or faces more demanding governance expectations.</w:t>
      </w:r>
    </w:p>
    <w:p w14:paraId="6BAACAAA" w14:textId="77777777" w:rsidR="007E2035" w:rsidRPr="007E2035" w:rsidRDefault="007E2035" w:rsidP="007E2035">
      <w:proofErr w:type="spellStart"/>
      <w:r w:rsidRPr="007E2035">
        <w:t>Professionalisation</w:t>
      </w:r>
      <w:proofErr w:type="spellEnd"/>
      <w:r w:rsidRPr="007E2035">
        <w:t xml:space="preserve"> can help convert dispersed operating knowledge into structured information that boards, investors and other institutions can evaluate.</w:t>
      </w:r>
    </w:p>
    <w:p w14:paraId="122DD00D" w14:textId="77777777" w:rsidR="007E2035" w:rsidRPr="007E2035" w:rsidRDefault="007E2035" w:rsidP="007E2035">
      <w:r w:rsidRPr="007E2035">
        <w:t xml:space="preserve">A start-up may therefore be technologically ready before it is institutionally ready </w:t>
      </w:r>
      <w:r w:rsidRPr="007E2035">
        <w:lastRenderedPageBreak/>
        <w:t>to scale.</w:t>
      </w:r>
    </w:p>
    <w:p w14:paraId="0293329B" w14:textId="77777777" w:rsidR="007E2035" w:rsidRPr="007E2035" w:rsidRDefault="00000000" w:rsidP="007E2035">
      <w:r>
        <w:pict w14:anchorId="6FA5B4BE">
          <v:rect id="_x0000_i1031" style="width:486pt;height:.75pt" o:hrpct="0" o:hralign="center" o:hrstd="t" o:hr="t" fillcolor="#a0a0a0" stroked="f"/>
        </w:pict>
      </w:r>
    </w:p>
    <w:p w14:paraId="64091A68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5. Success Does Not Automatically Become an Ecosystem</w:t>
      </w:r>
    </w:p>
    <w:p w14:paraId="4C46E72B" w14:textId="77777777" w:rsidR="007E2035" w:rsidRPr="007E2035" w:rsidRDefault="007E2035" w:rsidP="007E2035">
      <w:r w:rsidRPr="007E2035">
        <w:t>The OECD study further suggests that spillovers associated with successful scale-ups differ across ecosystems.</w:t>
      </w:r>
    </w:p>
    <w:p w14:paraId="571F2FDE" w14:textId="77777777" w:rsidR="007E2035" w:rsidRPr="007E2035" w:rsidRDefault="007E2035" w:rsidP="007E2035">
      <w:r w:rsidRPr="007E2035">
        <w:t>In the United States, the emergence of a rising superstar is associated with stronger subsequent innovative entry in the local area.</w:t>
      </w:r>
    </w:p>
    <w:p w14:paraId="627C29EB" w14:textId="77777777" w:rsidR="007E2035" w:rsidRPr="007E2035" w:rsidRDefault="007E2035" w:rsidP="007E2035">
      <w:r w:rsidRPr="007E2035">
        <w:t>In Europe, the relationship appears less automatic, while many top-tier firms depend substantially on international investor networks.</w:t>
      </w:r>
    </w:p>
    <w:p w14:paraId="50610725" w14:textId="77777777" w:rsidR="007E2035" w:rsidRPr="007E2035" w:rsidRDefault="007E2035" w:rsidP="007E2035">
      <w:r w:rsidRPr="007E2035">
        <w:t>The institutional question is therefore broader than whether successful companies exist.</w:t>
      </w:r>
    </w:p>
    <w:p w14:paraId="355BEA10" w14:textId="77777777" w:rsidR="007E2035" w:rsidRPr="007E2035" w:rsidRDefault="007E2035" w:rsidP="007E2035">
      <w:r w:rsidRPr="007E2035">
        <w:t>It is whether the knowledge, talent, financing relationships and operating capabilities created through success remain available for reuse.</w:t>
      </w:r>
    </w:p>
    <w:p w14:paraId="222F3690" w14:textId="77777777" w:rsidR="007E2035" w:rsidRPr="007E2035" w:rsidRDefault="007E2035" w:rsidP="007E2035">
      <w:r w:rsidRPr="007E2035">
        <w:t xml:space="preserve">A successful scale-up can generate experienced executives, </w:t>
      </w:r>
      <w:proofErr w:type="spellStart"/>
      <w:r w:rsidRPr="007E2035">
        <w:t>specialised</w:t>
      </w:r>
      <w:proofErr w:type="spellEnd"/>
      <w:r w:rsidRPr="007E2035">
        <w:t xml:space="preserve"> suppliers, investor knowledge and reusable </w:t>
      </w:r>
      <w:proofErr w:type="spellStart"/>
      <w:r w:rsidRPr="007E2035">
        <w:t>commercialisation</w:t>
      </w:r>
      <w:proofErr w:type="spellEnd"/>
      <w:r w:rsidRPr="007E2035">
        <w:t xml:space="preserve"> capabilities.</w:t>
      </w:r>
    </w:p>
    <w:p w14:paraId="084D087C" w14:textId="77777777" w:rsidR="007E2035" w:rsidRPr="007E2035" w:rsidRDefault="007E2035" w:rsidP="007E2035">
      <w:r w:rsidRPr="007E2035">
        <w:t>But these capabilities do not automatically become ecosystem infrastructure.</w:t>
      </w:r>
    </w:p>
    <w:p w14:paraId="0E4B2C2E" w14:textId="77777777" w:rsidR="007E2035" w:rsidRPr="007E2035" w:rsidRDefault="007E2035" w:rsidP="007E2035">
      <w:r w:rsidRPr="007E2035">
        <w:rPr>
          <w:b/>
          <w:bCs/>
        </w:rPr>
        <w:t>Individual success becomes infrastructure only when its value can be transferred.</w:t>
      </w:r>
    </w:p>
    <w:p w14:paraId="74EA9DD9" w14:textId="77777777" w:rsidR="007E2035" w:rsidRPr="007E2035" w:rsidRDefault="00000000" w:rsidP="007E2035">
      <w:r>
        <w:pict w14:anchorId="4313CDDE">
          <v:rect id="_x0000_i1032" style="width:486pt;height:.75pt" o:hrpct="0" o:hralign="center" o:hrstd="t" o:hr="t" fillcolor="#a0a0a0" stroked="f"/>
        </w:pict>
      </w:r>
    </w:p>
    <w:p w14:paraId="67B6966D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A Shared Structural Direction</w:t>
      </w:r>
    </w:p>
    <w:p w14:paraId="62B5B288" w14:textId="77777777" w:rsidR="007E2035" w:rsidRPr="007E2035" w:rsidRDefault="007E2035" w:rsidP="007E2035">
      <w:r w:rsidRPr="007E2035">
        <w:t>These findings concern different stages of enterprise development.</w:t>
      </w:r>
    </w:p>
    <w:p w14:paraId="6F8EEA90" w14:textId="77777777" w:rsidR="007E2035" w:rsidRPr="007E2035" w:rsidRDefault="007E2035" w:rsidP="007E2035">
      <w:r w:rsidRPr="007E2035">
        <w:t>Yet they point toward a common structural direction.</w:t>
      </w:r>
    </w:p>
    <w:p w14:paraId="58C98A60" w14:textId="77777777" w:rsidR="007E2035" w:rsidRPr="007E2035" w:rsidRDefault="007E2035" w:rsidP="007E2035">
      <w:r w:rsidRPr="007E2035">
        <w:t>Invention creates potential.</w:t>
      </w:r>
    </w:p>
    <w:p w14:paraId="46CE6CA7" w14:textId="77777777" w:rsidR="007E2035" w:rsidRPr="007E2035" w:rsidRDefault="007E2035" w:rsidP="007E2035">
      <w:proofErr w:type="spellStart"/>
      <w:r w:rsidRPr="007E2035">
        <w:t>Commercialisation</w:t>
      </w:r>
      <w:proofErr w:type="spellEnd"/>
      <w:r w:rsidRPr="007E2035">
        <w:t xml:space="preserve"> requires evidence of market viability.</w:t>
      </w:r>
    </w:p>
    <w:p w14:paraId="782B0C18" w14:textId="77777777" w:rsidR="007E2035" w:rsidRPr="007E2035" w:rsidRDefault="007E2035" w:rsidP="007E2035">
      <w:r w:rsidRPr="007E2035">
        <w:t>Late-stage financing requires evidence of institutional readiness.</w:t>
      </w:r>
    </w:p>
    <w:p w14:paraId="267BF539" w14:textId="77777777" w:rsidR="007E2035" w:rsidRPr="007E2035" w:rsidRDefault="007E2035" w:rsidP="007E2035">
      <w:r w:rsidRPr="007E2035">
        <w:t xml:space="preserve">Cross-border expansion requires evidence that remains intelligible across </w:t>
      </w:r>
      <w:r w:rsidRPr="007E2035">
        <w:lastRenderedPageBreak/>
        <w:t>jurisdictions.</w:t>
      </w:r>
    </w:p>
    <w:p w14:paraId="7C7B52F6" w14:textId="77777777" w:rsidR="007E2035" w:rsidRPr="007E2035" w:rsidRDefault="007E2035" w:rsidP="007E2035">
      <w:proofErr w:type="spellStart"/>
      <w:r w:rsidRPr="007E2035">
        <w:t>Professionalisation</w:t>
      </w:r>
      <w:proofErr w:type="spellEnd"/>
      <w:r w:rsidRPr="007E2035">
        <w:t xml:space="preserve"> requires operational knowledge to become structured and </w:t>
      </w:r>
      <w:proofErr w:type="gramStart"/>
      <w:r w:rsidRPr="007E2035">
        <w:t>decision-ready</w:t>
      </w:r>
      <w:proofErr w:type="gramEnd"/>
      <w:r w:rsidRPr="007E2035">
        <w:t>.</w:t>
      </w:r>
    </w:p>
    <w:p w14:paraId="222A9D9B" w14:textId="77777777" w:rsidR="007E2035" w:rsidRPr="007E2035" w:rsidRDefault="007E2035" w:rsidP="007E2035">
      <w:r w:rsidRPr="007E2035">
        <w:t>Ecosystem formation requires successful capabilities to be preserved and transmitted.</w:t>
      </w:r>
    </w:p>
    <w:p w14:paraId="57ED0F0F" w14:textId="77777777" w:rsidR="007E2035" w:rsidRPr="007E2035" w:rsidRDefault="007E2035" w:rsidP="007E2035">
      <w:r w:rsidRPr="007E2035">
        <w:t>See content credentials</w:t>
      </w:r>
    </w:p>
    <w:p w14:paraId="3C67A4CA" w14:textId="23D05647" w:rsidR="007E2035" w:rsidRPr="007E2035" w:rsidRDefault="007E2035" w:rsidP="007E2035">
      <w:r w:rsidRPr="007E2035">
        <w:rPr>
          <w:noProof/>
        </w:rPr>
        <w:lastRenderedPageBreak/>
        <w:drawing>
          <wp:inline distT="0" distB="0" distL="0" distR="0" wp14:anchorId="69CD8667" wp14:editId="6ABB0589">
            <wp:extent cx="5274310" cy="7911465"/>
            <wp:effectExtent l="0" t="0" r="2540" b="0"/>
            <wp:docPr id="1310842914" name="圖片 4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529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9BA43" w14:textId="77777777" w:rsidR="007E2035" w:rsidRPr="007E2035" w:rsidRDefault="007E2035" w:rsidP="007E2035">
      <w:r w:rsidRPr="007E2035">
        <w:t xml:space="preserve">Evidence needs </w:t>
      </w:r>
      <w:proofErr w:type="gramStart"/>
      <w:r w:rsidRPr="007E2035">
        <w:t>evolve</w:t>
      </w:r>
      <w:proofErr w:type="gramEnd"/>
      <w:r w:rsidRPr="007E2035">
        <w:t xml:space="preserve"> as institutional reliance becomes more consequential.</w:t>
      </w:r>
    </w:p>
    <w:p w14:paraId="2EDB9739" w14:textId="77777777" w:rsidR="007E2035" w:rsidRPr="007E2035" w:rsidRDefault="007E2035" w:rsidP="007E2035">
      <w:r w:rsidRPr="007E2035">
        <w:t>Scale-up is therefore not a single financing event.</w:t>
      </w:r>
    </w:p>
    <w:p w14:paraId="39453B5A" w14:textId="77777777" w:rsidR="007E2035" w:rsidRPr="007E2035" w:rsidRDefault="007E2035" w:rsidP="007E2035">
      <w:r w:rsidRPr="007E2035">
        <w:lastRenderedPageBreak/>
        <w:t>It is a sequence of increasingly consequential institutional transitions.</w:t>
      </w:r>
    </w:p>
    <w:p w14:paraId="3002B6C6" w14:textId="77777777" w:rsidR="007E2035" w:rsidRPr="007E2035" w:rsidRDefault="007E2035" w:rsidP="007E2035">
      <w:r w:rsidRPr="007E2035">
        <w:t>At each stage, different actors must be able to rely upon different forms of evidence.</w:t>
      </w:r>
    </w:p>
    <w:p w14:paraId="732AA3EA" w14:textId="77777777" w:rsidR="007E2035" w:rsidRPr="007E2035" w:rsidRDefault="007E2035" w:rsidP="007E2035">
      <w:r w:rsidRPr="007E2035">
        <w:t>Customers must trust the product.</w:t>
      </w:r>
    </w:p>
    <w:p w14:paraId="45DF4DFB" w14:textId="77777777" w:rsidR="007E2035" w:rsidRPr="007E2035" w:rsidRDefault="007E2035" w:rsidP="007E2035">
      <w:r w:rsidRPr="007E2035">
        <w:t>Investors must trust the growth pathway.</w:t>
      </w:r>
    </w:p>
    <w:p w14:paraId="22BF6755" w14:textId="77777777" w:rsidR="007E2035" w:rsidRPr="007E2035" w:rsidRDefault="007E2035" w:rsidP="007E2035">
      <w:r w:rsidRPr="007E2035">
        <w:t>Boards must trust operating information.</w:t>
      </w:r>
    </w:p>
    <w:p w14:paraId="23EBF6DB" w14:textId="77777777" w:rsidR="007E2035" w:rsidRPr="007E2035" w:rsidRDefault="007E2035" w:rsidP="007E2035">
      <w:r w:rsidRPr="007E2035">
        <w:t>Acquirers must understand the underlying assets and obligations.</w:t>
      </w:r>
    </w:p>
    <w:p w14:paraId="2E69F445" w14:textId="77777777" w:rsidR="007E2035" w:rsidRPr="007E2035" w:rsidRDefault="007E2035" w:rsidP="007E2035">
      <w:r w:rsidRPr="007E2035">
        <w:t>Cross-border institutions must be able to interpret information across different systems and jurisdictions.</w:t>
      </w:r>
    </w:p>
    <w:p w14:paraId="31CCC433" w14:textId="77777777" w:rsidR="007E2035" w:rsidRPr="007E2035" w:rsidRDefault="007E2035" w:rsidP="007E2035">
      <w:r w:rsidRPr="007E2035">
        <w:t xml:space="preserve">The friction emerges when evidence cannot move with the </w:t>
      </w:r>
      <w:proofErr w:type="spellStart"/>
      <w:r w:rsidRPr="007E2035">
        <w:t>organisation</w:t>
      </w:r>
      <w:proofErr w:type="spellEnd"/>
      <w:r w:rsidRPr="007E2035">
        <w:t>.</w:t>
      </w:r>
    </w:p>
    <w:p w14:paraId="178F96CC" w14:textId="77777777" w:rsidR="007E2035" w:rsidRPr="007E2035" w:rsidRDefault="007E2035" w:rsidP="007E2035">
      <w:r w:rsidRPr="007E2035">
        <w:t>When it exists but cannot be verified.</w:t>
      </w:r>
    </w:p>
    <w:p w14:paraId="7A98C169" w14:textId="77777777" w:rsidR="007E2035" w:rsidRPr="007E2035" w:rsidRDefault="007E2035" w:rsidP="007E2035">
      <w:r w:rsidRPr="007E2035">
        <w:t>When it is credible but arrives too late.</w:t>
      </w:r>
    </w:p>
    <w:p w14:paraId="5140C6EA" w14:textId="77777777" w:rsidR="007E2035" w:rsidRPr="007E2035" w:rsidRDefault="007E2035" w:rsidP="007E2035">
      <w:r w:rsidRPr="007E2035">
        <w:t>When it is understandable internally but not externally.</w:t>
      </w:r>
    </w:p>
    <w:p w14:paraId="3D1BDCE5" w14:textId="77777777" w:rsidR="007E2035" w:rsidRPr="007E2035" w:rsidRDefault="007E2035" w:rsidP="007E2035">
      <w:r w:rsidRPr="007E2035">
        <w:t>When it supports one decision but loses context across the next institutional boundary.</w:t>
      </w:r>
    </w:p>
    <w:p w14:paraId="70F60785" w14:textId="77777777" w:rsidR="007E2035" w:rsidRPr="007E2035" w:rsidRDefault="007E2035" w:rsidP="007E2035">
      <w:r w:rsidRPr="007E2035">
        <w:t>The question is therefore no longer simply whether more information can be produced.</w:t>
      </w:r>
    </w:p>
    <w:p w14:paraId="298B5A5A" w14:textId="77777777" w:rsidR="007E2035" w:rsidRPr="007E2035" w:rsidRDefault="007E2035" w:rsidP="007E2035">
      <w:r w:rsidRPr="007E2035">
        <w:t xml:space="preserve">It is whether evidence can remain </w:t>
      </w:r>
      <w:proofErr w:type="gramStart"/>
      <w:r w:rsidRPr="007E2035">
        <w:t>decision-ready</w:t>
      </w:r>
      <w:proofErr w:type="gramEnd"/>
      <w:r w:rsidRPr="007E2035">
        <w:t xml:space="preserve"> as the </w:t>
      </w:r>
      <w:proofErr w:type="spellStart"/>
      <w:r w:rsidRPr="007E2035">
        <w:t>organisation</w:t>
      </w:r>
      <w:proofErr w:type="spellEnd"/>
      <w:r w:rsidRPr="007E2035">
        <w:t xml:space="preserve"> scales.</w:t>
      </w:r>
    </w:p>
    <w:p w14:paraId="6215EADC" w14:textId="77777777" w:rsidR="007E2035" w:rsidRPr="007E2035" w:rsidRDefault="00000000" w:rsidP="007E2035">
      <w:r>
        <w:pict w14:anchorId="0CAA0592">
          <v:rect id="_x0000_i1033" style="width:486pt;height:.75pt" o:hrpct="0" o:hralign="center" o:hrstd="t" o:hr="t" fillcolor="#a0a0a0" stroked="f"/>
        </w:pict>
      </w:r>
    </w:p>
    <w:p w14:paraId="7DDFF4A7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Evidence Infrastructure Perspective</w:t>
      </w:r>
    </w:p>
    <w:p w14:paraId="13B998BE" w14:textId="77777777" w:rsidR="007E2035" w:rsidRPr="007E2035" w:rsidRDefault="007E2035" w:rsidP="007E2035">
      <w:r w:rsidRPr="007E2035">
        <w:t>Viewed together, the OECD findings provide empirical support for a broader shift in the scale-up discussion.</w:t>
      </w:r>
    </w:p>
    <w:p w14:paraId="52255E0E" w14:textId="77777777" w:rsidR="007E2035" w:rsidRPr="007E2035" w:rsidRDefault="007E2035" w:rsidP="007E2035">
      <w:r w:rsidRPr="007E2035">
        <w:t>From inventive capacity alone.</w:t>
      </w:r>
    </w:p>
    <w:p w14:paraId="7E961F4A" w14:textId="77777777" w:rsidR="007E2035" w:rsidRPr="007E2035" w:rsidRDefault="007E2035" w:rsidP="007E2035">
      <w:r w:rsidRPr="007E2035">
        <w:t>Toward institutional capability.</w:t>
      </w:r>
    </w:p>
    <w:p w14:paraId="603B62C6" w14:textId="77777777" w:rsidR="007E2035" w:rsidRPr="007E2035" w:rsidRDefault="007E2035" w:rsidP="007E2035">
      <w:r w:rsidRPr="007E2035">
        <w:t>Patents remain essential.</w:t>
      </w:r>
    </w:p>
    <w:p w14:paraId="614940BC" w14:textId="77777777" w:rsidR="007E2035" w:rsidRPr="007E2035" w:rsidRDefault="007E2035" w:rsidP="007E2035">
      <w:r w:rsidRPr="007E2035">
        <w:lastRenderedPageBreak/>
        <w:t>Capital remains essential.</w:t>
      </w:r>
    </w:p>
    <w:p w14:paraId="52456156" w14:textId="77777777" w:rsidR="007E2035" w:rsidRPr="007E2035" w:rsidRDefault="007E2035" w:rsidP="007E2035">
      <w:r w:rsidRPr="007E2035">
        <w:t>Talent remains essential.</w:t>
      </w:r>
    </w:p>
    <w:p w14:paraId="4AB3EF71" w14:textId="77777777" w:rsidR="007E2035" w:rsidRPr="007E2035" w:rsidRDefault="007E2035" w:rsidP="007E2035">
      <w:r w:rsidRPr="007E2035">
        <w:t xml:space="preserve">But none independently establishes that an </w:t>
      </w:r>
      <w:proofErr w:type="spellStart"/>
      <w:r w:rsidRPr="007E2035">
        <w:t>organisation</w:t>
      </w:r>
      <w:proofErr w:type="spellEnd"/>
      <w:r w:rsidRPr="007E2035">
        <w:t xml:space="preserve"> is ready for the next level of institutional reliance.</w:t>
      </w:r>
    </w:p>
    <w:p w14:paraId="73F59BAA" w14:textId="77777777" w:rsidR="007E2035" w:rsidRPr="007E2035" w:rsidRDefault="007E2035" w:rsidP="007E2035">
      <w:r w:rsidRPr="007E2035">
        <w:t>Viewed through an Evidence Infrastructure perspective, this transition becomes easier to see.</w:t>
      </w:r>
    </w:p>
    <w:p w14:paraId="3061ABE4" w14:textId="77777777" w:rsidR="007E2035" w:rsidRPr="007E2035" w:rsidRDefault="007E2035" w:rsidP="007E2035">
      <w:r w:rsidRPr="007E2035">
        <w:t>Evidence generation asks:</w:t>
      </w:r>
    </w:p>
    <w:p w14:paraId="2E0C094B" w14:textId="77777777" w:rsidR="007E2035" w:rsidRPr="007E2035" w:rsidRDefault="007E2035" w:rsidP="007E2035">
      <w:r w:rsidRPr="007E2035">
        <w:t>Does the information exist?</w:t>
      </w:r>
    </w:p>
    <w:p w14:paraId="1ECD5651" w14:textId="77777777" w:rsidR="007E2035" w:rsidRPr="007E2035" w:rsidRDefault="007E2035" w:rsidP="007E2035">
      <w:r w:rsidRPr="007E2035">
        <w:t>Evidence allocation asks:</w:t>
      </w:r>
    </w:p>
    <w:p w14:paraId="4675339F" w14:textId="77777777" w:rsidR="007E2035" w:rsidRPr="007E2035" w:rsidRDefault="007E2035" w:rsidP="007E2035">
      <w:r w:rsidRPr="007E2035">
        <w:t>Can the necessary evidence reach the relevant decision-maker, in a form that can be understood, verified and relied upon, when the decision must be made?</w:t>
      </w:r>
    </w:p>
    <w:p w14:paraId="194A3E92" w14:textId="77777777" w:rsidR="007E2035" w:rsidRPr="007E2035" w:rsidRDefault="007E2035" w:rsidP="007E2035">
      <w:r w:rsidRPr="007E2035">
        <w:t>A patent may demonstrate that an invention exists.</w:t>
      </w:r>
    </w:p>
    <w:p w14:paraId="504F186B" w14:textId="77777777" w:rsidR="007E2035" w:rsidRPr="007E2035" w:rsidRDefault="007E2035" w:rsidP="007E2035">
      <w:r w:rsidRPr="007E2035">
        <w:t>It does not demonstrate customer adoption, recurring revenue, financial discipline, governance readiness or the ability to operate across multiple jurisdictions.</w:t>
      </w:r>
    </w:p>
    <w:p w14:paraId="05688F40" w14:textId="77777777" w:rsidR="007E2035" w:rsidRPr="007E2035" w:rsidRDefault="007E2035" w:rsidP="007E2035">
      <w:r w:rsidRPr="007E2035">
        <w:t>Each transition requires a broader and more institutionally reliable body of evidence.</w:t>
      </w:r>
    </w:p>
    <w:p w14:paraId="174C3D94" w14:textId="77777777" w:rsidR="007E2035" w:rsidRPr="007E2035" w:rsidRDefault="007E2035" w:rsidP="007E2035">
      <w:r w:rsidRPr="007E2035">
        <w:t>This does not mean that Evidence Infrastructure explains the measured differences between European and US scale-ups.</w:t>
      </w:r>
    </w:p>
    <w:p w14:paraId="62E31A80" w14:textId="77777777" w:rsidR="007E2035" w:rsidRPr="007E2035" w:rsidRDefault="007E2035" w:rsidP="007E2035">
      <w:r w:rsidRPr="007E2035">
        <w:t xml:space="preserve">Those outcomes reflect multiple market, regulatory, financial and </w:t>
      </w:r>
      <w:proofErr w:type="spellStart"/>
      <w:r w:rsidRPr="007E2035">
        <w:t>organisational</w:t>
      </w:r>
      <w:proofErr w:type="spellEnd"/>
      <w:r w:rsidRPr="007E2035">
        <w:t xml:space="preserve"> conditions.</w:t>
      </w:r>
    </w:p>
    <w:p w14:paraId="3D7C8222" w14:textId="77777777" w:rsidR="007E2035" w:rsidRPr="007E2035" w:rsidRDefault="007E2035" w:rsidP="007E2035">
      <w:r w:rsidRPr="007E2035">
        <w:t>The institutional signal lies elsewhere.</w:t>
      </w:r>
    </w:p>
    <w:p w14:paraId="6C991FD3" w14:textId="77777777" w:rsidR="007E2035" w:rsidRPr="007E2035" w:rsidRDefault="007E2035" w:rsidP="007E2035">
      <w:r w:rsidRPr="007E2035">
        <w:t>Innovation must be translated.</w:t>
      </w:r>
    </w:p>
    <w:p w14:paraId="4966DAD0" w14:textId="77777777" w:rsidR="007E2035" w:rsidRPr="007E2035" w:rsidRDefault="007E2035" w:rsidP="007E2035">
      <w:r w:rsidRPr="007E2035">
        <w:t>Capability must become visible.</w:t>
      </w:r>
    </w:p>
    <w:p w14:paraId="09E52C77" w14:textId="77777777" w:rsidR="007E2035" w:rsidRPr="007E2035" w:rsidRDefault="007E2035" w:rsidP="007E2035">
      <w:r w:rsidRPr="007E2035">
        <w:t>Trust must become transferable.</w:t>
      </w:r>
    </w:p>
    <w:p w14:paraId="37E78EF9" w14:textId="77777777" w:rsidR="007E2035" w:rsidRPr="007E2035" w:rsidRDefault="007E2035" w:rsidP="007E2035">
      <w:r w:rsidRPr="007E2035">
        <w:t xml:space="preserve">And operating information must remain intelligible as an enterprise crosses increasingly consequential capital, </w:t>
      </w:r>
      <w:proofErr w:type="spellStart"/>
      <w:r w:rsidRPr="007E2035">
        <w:t>organisational</w:t>
      </w:r>
      <w:proofErr w:type="spellEnd"/>
      <w:r w:rsidRPr="007E2035">
        <w:t xml:space="preserve"> and jurisdictional boundaries.</w:t>
      </w:r>
    </w:p>
    <w:p w14:paraId="4964B3B5" w14:textId="77777777" w:rsidR="007E2035" w:rsidRPr="007E2035" w:rsidRDefault="00000000" w:rsidP="007E2035">
      <w:r>
        <w:lastRenderedPageBreak/>
        <w:pict w14:anchorId="71A477F2">
          <v:rect id="_x0000_i1034" style="width:486pt;height:.75pt" o:hrpct="0" o:hralign="center" o:hrstd="t" o:hr="t" fillcolor="#a0a0a0" stroked="f"/>
        </w:pict>
      </w:r>
    </w:p>
    <w:p w14:paraId="374F0B02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Closing Reflection</w:t>
      </w:r>
    </w:p>
    <w:p w14:paraId="6E6626E9" w14:textId="77777777" w:rsidR="007E2035" w:rsidRPr="007E2035" w:rsidRDefault="007E2035" w:rsidP="007E2035">
      <w:r w:rsidRPr="007E2035">
        <w:t>Across innovation policy.</w:t>
      </w:r>
    </w:p>
    <w:p w14:paraId="5FEFBB05" w14:textId="77777777" w:rsidR="007E2035" w:rsidRPr="007E2035" w:rsidRDefault="007E2035" w:rsidP="007E2035">
      <w:r w:rsidRPr="007E2035">
        <w:t>Across transatlantic capital markets.</w:t>
      </w:r>
    </w:p>
    <w:p w14:paraId="0AE68AC2" w14:textId="77777777" w:rsidR="007E2035" w:rsidRPr="007E2035" w:rsidRDefault="007E2035" w:rsidP="007E2035">
      <w:r w:rsidRPr="007E2035">
        <w:t>Across corporate growth strategies.</w:t>
      </w:r>
    </w:p>
    <w:p w14:paraId="4965E315" w14:textId="77777777" w:rsidR="007E2035" w:rsidRPr="007E2035" w:rsidRDefault="007E2035" w:rsidP="007E2035">
      <w:r w:rsidRPr="007E2035">
        <w:t>A remarkably consistent direction is emerging.</w:t>
      </w:r>
    </w:p>
    <w:p w14:paraId="64C575B7" w14:textId="77777777" w:rsidR="007E2035" w:rsidRPr="007E2035" w:rsidRDefault="007E2035" w:rsidP="007E2035">
      <w:r w:rsidRPr="007E2035">
        <w:t>The central question is gradually changing.</w:t>
      </w:r>
    </w:p>
    <w:p w14:paraId="0641EC90" w14:textId="77777777" w:rsidR="007E2035" w:rsidRPr="007E2035" w:rsidRDefault="007E2035" w:rsidP="007E2035">
      <w:r w:rsidRPr="007E2035">
        <w:t>From:</w:t>
      </w:r>
    </w:p>
    <w:p w14:paraId="2A1D0630" w14:textId="77777777" w:rsidR="007E2035" w:rsidRPr="007E2035" w:rsidRDefault="007E2035" w:rsidP="007E2035">
      <w:r w:rsidRPr="007E2035">
        <w:t>How do we create more innovative start-ups?</w:t>
      </w:r>
    </w:p>
    <w:p w14:paraId="368329EB" w14:textId="77777777" w:rsidR="007E2035" w:rsidRPr="007E2035" w:rsidRDefault="007E2035" w:rsidP="007E2035">
      <w:r w:rsidRPr="007E2035">
        <w:t>To:</w:t>
      </w:r>
    </w:p>
    <w:p w14:paraId="60EBE4FA" w14:textId="77777777" w:rsidR="007E2035" w:rsidRPr="007E2035" w:rsidRDefault="007E2035" w:rsidP="007E2035">
      <w:r w:rsidRPr="007E2035">
        <w:t>What institutional evidence enables innovative ventures to scale at the speed of global markets?</w:t>
      </w:r>
    </w:p>
    <w:p w14:paraId="54BC2508" w14:textId="77777777" w:rsidR="007E2035" w:rsidRPr="007E2035" w:rsidRDefault="007E2035" w:rsidP="007E2035">
      <w:r w:rsidRPr="007E2035">
        <w:t>Perhaps the next evolution of competitiveness will not be defined by inventive capacity alone.</w:t>
      </w:r>
    </w:p>
    <w:p w14:paraId="50E5986B" w14:textId="77777777" w:rsidR="007E2035" w:rsidRPr="007E2035" w:rsidRDefault="007E2035" w:rsidP="007E2035">
      <w:r w:rsidRPr="007E2035">
        <w:t>It may increasingly depend upon whether innovation, commercial traction, managerial capability and institutional readiness can be translated into evidence capable of supporting increasingly consequential decisions.</w:t>
      </w:r>
    </w:p>
    <w:p w14:paraId="13152C06" w14:textId="77777777" w:rsidR="007E2035" w:rsidRPr="007E2035" w:rsidRDefault="007E2035" w:rsidP="007E2035">
      <w:r w:rsidRPr="007E2035">
        <w:rPr>
          <w:b/>
          <w:bCs/>
        </w:rPr>
        <w:t>Innovation creates potential.</w:t>
      </w:r>
    </w:p>
    <w:p w14:paraId="2E468BEB" w14:textId="77777777" w:rsidR="007E2035" w:rsidRPr="007E2035" w:rsidRDefault="007E2035" w:rsidP="007E2035">
      <w:r w:rsidRPr="007E2035">
        <w:rPr>
          <w:b/>
          <w:bCs/>
        </w:rPr>
        <w:t>Evidence makes scale possible.</w:t>
      </w:r>
    </w:p>
    <w:p w14:paraId="63727083" w14:textId="77777777" w:rsidR="007E2035" w:rsidRPr="007E2035" w:rsidRDefault="00000000" w:rsidP="007E2035">
      <w:r>
        <w:pict w14:anchorId="4D9A6ACF">
          <v:rect id="_x0000_i1035" style="width:486pt;height:.75pt" o:hrpct="0" o:hralign="center" o:hrstd="t" o:hr="t" fillcolor="#a0a0a0" stroked="f"/>
        </w:pict>
      </w:r>
    </w:p>
    <w:p w14:paraId="38534FFF" w14:textId="77777777" w:rsidR="007E2035" w:rsidRPr="007E2035" w:rsidRDefault="007E2035" w:rsidP="007E2035">
      <w:pPr>
        <w:rPr>
          <w:b/>
          <w:bCs/>
        </w:rPr>
      </w:pPr>
      <w:r w:rsidRPr="007E2035">
        <w:rPr>
          <w:b/>
          <w:bCs/>
        </w:rPr>
        <w:t>Source and Analytical Boundary</w:t>
      </w:r>
    </w:p>
    <w:p w14:paraId="6F30AD85" w14:textId="77777777" w:rsidR="007E2035" w:rsidRPr="007E2035" w:rsidRDefault="007E2035" w:rsidP="007E2035">
      <w:r w:rsidRPr="007E2035">
        <w:rPr>
          <w:b/>
          <w:bCs/>
        </w:rPr>
        <w:t>Core source:</w:t>
      </w:r>
      <w:r w:rsidRPr="007E2035">
        <w:t xml:space="preserve"> OECD Directorate for Science, Technology and Innovation, </w:t>
      </w:r>
      <w:r w:rsidRPr="007E2035">
        <w:rPr>
          <w:i/>
          <w:iCs/>
        </w:rPr>
        <w:t>Which start-ups achieve scale? Evidence from innovative start-ups in the EU and the US</w:t>
      </w:r>
      <w:r w:rsidRPr="007E2035">
        <w:t>, OECD Science, Technology and Industry Working Papers, 2026/08.</w:t>
      </w:r>
    </w:p>
    <w:p w14:paraId="397DB6E3" w14:textId="77777777" w:rsidR="007E2035" w:rsidRPr="007E2035" w:rsidRDefault="007E2035" w:rsidP="007E2035">
      <w:r w:rsidRPr="007E2035">
        <w:t xml:space="preserve">The OECD publication is a working paper presenting preliminary research findings. Its empirical results identify statistical patterns and associations and </w:t>
      </w:r>
      <w:r w:rsidRPr="007E2035">
        <w:lastRenderedPageBreak/>
        <w:t>should not automatically be interpreted as establishing causality.</w:t>
      </w:r>
    </w:p>
    <w:p w14:paraId="26DDE7C6" w14:textId="77777777" w:rsidR="007E2035" w:rsidRPr="007E2035" w:rsidRDefault="007E2035" w:rsidP="007E2035">
      <w:r w:rsidRPr="007E2035">
        <w:t xml:space="preserve">The concepts of </w:t>
      </w:r>
      <w:r w:rsidRPr="007E2035">
        <w:rPr>
          <w:b/>
          <w:bCs/>
        </w:rPr>
        <w:t>Evidence Infrastructure</w:t>
      </w:r>
      <w:r w:rsidRPr="007E2035">
        <w:t xml:space="preserve">, </w:t>
      </w:r>
      <w:r w:rsidRPr="007E2035">
        <w:rPr>
          <w:b/>
          <w:bCs/>
        </w:rPr>
        <w:t>evidence allocation problem</w:t>
      </w:r>
      <w:r w:rsidRPr="007E2035">
        <w:t xml:space="preserve">, </w:t>
      </w:r>
      <w:r w:rsidRPr="007E2035">
        <w:rPr>
          <w:b/>
          <w:bCs/>
        </w:rPr>
        <w:t>evidence continuity</w:t>
      </w:r>
      <w:r w:rsidRPr="007E2035">
        <w:t xml:space="preserve"> and </w:t>
      </w:r>
      <w:r w:rsidRPr="007E2035">
        <w:rPr>
          <w:b/>
          <w:bCs/>
        </w:rPr>
        <w:t>institutional readiness supported by evidence</w:t>
      </w:r>
      <w:r w:rsidRPr="007E2035">
        <w:t xml:space="preserve"> are analytical interpretations developed by </w:t>
      </w:r>
      <w:hyperlink r:id="rId6" w:tgtFrame="_self" w:history="1">
        <w:r w:rsidRPr="007E2035">
          <w:rPr>
            <w:rStyle w:val="ae"/>
            <w:b/>
            <w:bCs/>
          </w:rPr>
          <w:t>EMJ.LIFE</w:t>
        </w:r>
      </w:hyperlink>
      <w:r w:rsidRPr="007E2035">
        <w:t>. They are not OECD terminology or OECD conclusions.</w:t>
      </w:r>
    </w:p>
    <w:p w14:paraId="2A117172" w14:textId="77777777" w:rsidR="007E2035" w:rsidRPr="007E2035" w:rsidRDefault="007E2035" w:rsidP="007E2035">
      <w:r w:rsidRPr="007E2035">
        <w:t>This publication is an independent institutional analysis. It does not imply OECD participation, endorsement or affiliation.</w:t>
      </w:r>
    </w:p>
    <w:p w14:paraId="7A39E612" w14:textId="77777777" w:rsidR="007E2035" w:rsidRPr="007E2035" w:rsidRDefault="00000000" w:rsidP="007E2035">
      <w:r>
        <w:pict w14:anchorId="3800769E">
          <v:rect id="_x0000_i1036" style="width:486pt;height:.75pt" o:hrpct="0" o:hralign="center" o:hrstd="t" o:hr="t" fillcolor="#a0a0a0" stroked="f"/>
        </w:pict>
      </w:r>
    </w:p>
    <w:p w14:paraId="1A3C4191" w14:textId="77777777" w:rsidR="007E2035" w:rsidRPr="007E2035" w:rsidRDefault="007E2035" w:rsidP="007E2035">
      <w:r w:rsidRPr="007E2035">
        <w:rPr>
          <w:b/>
          <w:bCs/>
        </w:rPr>
        <w:t>Discover the technical examinations of Pre-Disclosure Evidence Infrastructure:</w:t>
      </w:r>
      <w:r w:rsidRPr="007E2035">
        <w:t xml:space="preserve"> </w:t>
      </w:r>
      <w:hyperlink r:id="rId7" w:tgtFrame="_self" w:history="1">
        <w:r w:rsidRPr="007E2035">
          <w:rPr>
            <w:rStyle w:val="ae"/>
            <w:b/>
            <w:bCs/>
          </w:rPr>
          <w:t>WWW.EMJ.LIFE</w:t>
        </w:r>
      </w:hyperlink>
    </w:p>
    <w:p w14:paraId="635F7E22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B8"/>
    <w:rsid w:val="00737856"/>
    <w:rsid w:val="00752532"/>
    <w:rsid w:val="007624B8"/>
    <w:rsid w:val="007E2035"/>
    <w:rsid w:val="007E240A"/>
    <w:rsid w:val="00B159C3"/>
    <w:rsid w:val="00DE605A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90292"/>
  <w15:chartTrackingRefBased/>
  <w15:docId w15:val="{772F04F2-28FC-4A21-9D81-15BD9DC01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624B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4B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4B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4B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4B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4B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4B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624B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62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624B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62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624B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624B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624B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624B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624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4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62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4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624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2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624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24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24B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2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624B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24B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E2035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E20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emj.lif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mj.life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1826</Words>
  <Characters>10412</Characters>
  <Application>Microsoft Office Word</Application>
  <DocSecurity>0</DocSecurity>
  <Lines>86</Lines>
  <Paragraphs>24</Paragraphs>
  <ScaleCrop>false</ScaleCrop>
  <Company/>
  <LinksUpToDate>false</LinksUpToDate>
  <CharactersWithSpaces>12214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4</cp:revision>
  <dcterms:created xsi:type="dcterms:W3CDTF">2026-08-16T08:45:00Z</dcterms:created>
  <dcterms:modified xsi:type="dcterms:W3CDTF">2026-08-16T08:54:00Z</dcterms:modified>
</cp:coreProperties>
</file>