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A293" w14:textId="77777777" w:rsidR="00A4470D" w:rsidRDefault="00A4470D" w:rsidP="00A4470D">
      <w:pPr>
        <w:rPr>
          <w:b/>
          <w:bCs/>
        </w:rPr>
      </w:pPr>
      <w:r w:rsidRPr="00A4470D">
        <w:rPr>
          <w:b/>
          <w:bCs/>
        </w:rPr>
        <w:t xml:space="preserve">Evidence Infrastructure Signal · 012 </w:t>
      </w:r>
    </w:p>
    <w:p w14:paraId="65E72834" w14:textId="62EF7A60" w:rsidR="00A4470D" w:rsidRPr="00A4470D" w:rsidRDefault="00A4470D" w:rsidP="00A4470D">
      <w:pPr>
        <w:rPr>
          <w:b/>
          <w:bCs/>
        </w:rPr>
      </w:pPr>
      <w:r w:rsidRPr="00A4470D">
        <w:rPr>
          <w:b/>
          <w:bCs/>
        </w:rPr>
        <w:t>Different Decisions. Similar Questions.</w:t>
      </w:r>
    </w:p>
    <w:p w14:paraId="58BCD00A" w14:textId="77777777" w:rsidR="00A4470D" w:rsidRPr="00A4470D" w:rsidRDefault="00A4470D" w:rsidP="00A4470D">
      <w:r w:rsidRPr="00A4470D">
        <w:t>July 24, 2026</w:t>
      </w:r>
    </w:p>
    <w:p w14:paraId="5E85F9A8" w14:textId="77777777" w:rsidR="00A4470D" w:rsidRPr="00A4470D" w:rsidRDefault="00A4470D" w:rsidP="00A4470D">
      <w:pPr>
        <w:rPr>
          <w:b/>
          <w:bCs/>
        </w:rPr>
      </w:pPr>
      <w:r w:rsidRPr="00A4470D">
        <w:rPr>
          <w:b/>
          <w:bCs/>
        </w:rPr>
        <w:t>What the July 2026 ISSB Board Meeting May Be Telling Us</w:t>
      </w:r>
    </w:p>
    <w:p w14:paraId="54C78828" w14:textId="77777777" w:rsidR="00A4470D" w:rsidRPr="00A4470D" w:rsidRDefault="00A4470D" w:rsidP="00A4470D">
      <w:r w:rsidRPr="00A4470D">
        <w:pict w14:anchorId="1F57EF49">
          <v:rect id="_x0000_i1088" style="width:486pt;height:.75pt" o:hrpct="0" o:hralign="center" o:hrstd="t" o:hr="t" fillcolor="#a0a0a0" stroked="f"/>
        </w:pict>
      </w:r>
    </w:p>
    <w:p w14:paraId="05BF567A" w14:textId="77777777" w:rsidR="00A4470D" w:rsidRPr="00A4470D" w:rsidRDefault="00A4470D" w:rsidP="00A4470D">
      <w:pPr>
        <w:rPr>
          <w:b/>
          <w:bCs/>
        </w:rPr>
      </w:pPr>
      <w:r w:rsidRPr="00A4470D">
        <w:rPr>
          <w:b/>
          <w:bCs/>
        </w:rPr>
        <w:t>Opening</w:t>
      </w:r>
    </w:p>
    <w:p w14:paraId="18654809" w14:textId="77777777" w:rsidR="00A4470D" w:rsidRPr="00A4470D" w:rsidRDefault="00A4470D" w:rsidP="00A4470D">
      <w:r w:rsidRPr="00A4470D">
        <w:t>The July 2026 ISSB Board Meeting covered a broad range of topics.</w:t>
      </w:r>
    </w:p>
    <w:p w14:paraId="00894037" w14:textId="77777777" w:rsidR="00A4470D" w:rsidRPr="00A4470D" w:rsidRDefault="00A4470D" w:rsidP="00A4470D">
      <w:r w:rsidRPr="00A4470D">
        <w:t>Nature-related guidance.</w:t>
      </w:r>
    </w:p>
    <w:p w14:paraId="2C712146" w14:textId="77777777" w:rsidR="00A4470D" w:rsidRPr="00A4470D" w:rsidRDefault="00A4470D" w:rsidP="00A4470D">
      <w:r w:rsidRPr="00A4470D">
        <w:t>Due process.</w:t>
      </w:r>
    </w:p>
    <w:p w14:paraId="0B16431D" w14:textId="77777777" w:rsidR="00A4470D" w:rsidRPr="00A4470D" w:rsidRDefault="00A4470D" w:rsidP="00A4470D">
      <w:r w:rsidRPr="00A4470D">
        <w:t>Effects analysis.</w:t>
      </w:r>
    </w:p>
    <w:p w14:paraId="701975DA" w14:textId="77777777" w:rsidR="00A4470D" w:rsidRPr="00A4470D" w:rsidRDefault="00A4470D" w:rsidP="00A4470D">
      <w:r w:rsidRPr="00A4470D">
        <w:t>Future SASB enhancements.</w:t>
      </w:r>
    </w:p>
    <w:p w14:paraId="1BCB2B3D" w14:textId="77777777" w:rsidR="00A4470D" w:rsidRPr="00A4470D" w:rsidRDefault="00A4470D" w:rsidP="00A4470D">
      <w:r w:rsidRPr="00A4470D">
        <w:t>At first glance, these appear to represent fundamentally different Board decisions.</w:t>
      </w:r>
    </w:p>
    <w:p w14:paraId="5C4688C4" w14:textId="77777777" w:rsidR="00A4470D" w:rsidRPr="00A4470D" w:rsidRDefault="00A4470D" w:rsidP="00A4470D">
      <w:r w:rsidRPr="00A4470D">
        <w:t>Different objectives.</w:t>
      </w:r>
    </w:p>
    <w:p w14:paraId="18F9BD98" w14:textId="77777777" w:rsidR="00A4470D" w:rsidRPr="00A4470D" w:rsidRDefault="00A4470D" w:rsidP="00A4470D">
      <w:r w:rsidRPr="00A4470D">
        <w:t>Different stakeholders.</w:t>
      </w:r>
    </w:p>
    <w:p w14:paraId="3FEB2365" w14:textId="77777777" w:rsidR="00A4470D" w:rsidRPr="00A4470D" w:rsidRDefault="00A4470D" w:rsidP="00A4470D">
      <w:r w:rsidRPr="00A4470D">
        <w:t>Different implementation priorities.</w:t>
      </w:r>
    </w:p>
    <w:p w14:paraId="3AB9B5DB" w14:textId="77777777" w:rsidR="00A4470D" w:rsidRPr="00A4470D" w:rsidRDefault="00A4470D" w:rsidP="00A4470D">
      <w:r w:rsidRPr="00A4470D">
        <w:t>Yet one observation becomes increasingly difficult to ignore.</w:t>
      </w:r>
    </w:p>
    <w:p w14:paraId="01825613" w14:textId="77777777" w:rsidR="00A4470D" w:rsidRPr="00A4470D" w:rsidRDefault="00A4470D" w:rsidP="00A4470D">
      <w:r w:rsidRPr="00A4470D">
        <w:t>Many of these discussions appear to be asking remarkably similar questions.</w:t>
      </w:r>
    </w:p>
    <w:p w14:paraId="002CBD45" w14:textId="77777777" w:rsidR="00A4470D" w:rsidRPr="00A4470D" w:rsidRDefault="00A4470D" w:rsidP="00A4470D">
      <w:r w:rsidRPr="00A4470D">
        <w:t>Not simply what sustainability standards should require.</w:t>
      </w:r>
    </w:p>
    <w:p w14:paraId="4F65B38B" w14:textId="77777777" w:rsidR="00A4470D" w:rsidRPr="00A4470D" w:rsidRDefault="00A4470D" w:rsidP="00A4470D">
      <w:r w:rsidRPr="00A4470D">
        <w:t>But increasingly what conditions allow those requirements to be implemented consistently across global markets.</w:t>
      </w:r>
    </w:p>
    <w:p w14:paraId="0BA5B8AC" w14:textId="77777777" w:rsidR="00A4470D" w:rsidRPr="00A4470D" w:rsidRDefault="00A4470D" w:rsidP="00A4470D">
      <w:r w:rsidRPr="00A4470D">
        <w:t xml:space="preserve">As an IFRS Foundation ISSB + SASB Level III officially licensed commercial user, </w:t>
      </w:r>
      <w:hyperlink r:id="rId4" w:tgtFrame="_self" w:history="1">
        <w:r w:rsidRPr="00A4470D">
          <w:rPr>
            <w:rStyle w:val="ae"/>
            <w:b/>
            <w:bCs/>
          </w:rPr>
          <w:t>EMJ.LIFE</w:t>
        </w:r>
      </w:hyperlink>
      <w:r w:rsidRPr="00A4470D">
        <w:t xml:space="preserve"> closely follows the evolution of the ISSB Standards and SASB Standards.</w:t>
      </w:r>
    </w:p>
    <w:p w14:paraId="6FAA4C0A" w14:textId="77777777" w:rsidR="00A4470D" w:rsidRPr="00A4470D" w:rsidRDefault="00A4470D" w:rsidP="00A4470D">
      <w:r w:rsidRPr="00A4470D">
        <w:t xml:space="preserve">Viewed collectively, the Frankfurt meeting appears to reveal a broader </w:t>
      </w:r>
      <w:r w:rsidRPr="00A4470D">
        <w:lastRenderedPageBreak/>
        <w:t>institutional transition that extends well beyond any individual agenda paper.</w:t>
      </w:r>
    </w:p>
    <w:p w14:paraId="73340641" w14:textId="77777777" w:rsidR="00A4470D" w:rsidRPr="00A4470D" w:rsidRDefault="00A4470D" w:rsidP="00A4470D">
      <w:r w:rsidRPr="00A4470D">
        <w:pict w14:anchorId="0B8380D0">
          <v:rect id="_x0000_i1089" style="width:486pt;height:.75pt" o:hrpct="0" o:hralign="center" o:hrstd="t" o:hr="t" fillcolor="#a0a0a0" stroked="f"/>
        </w:pict>
      </w:r>
    </w:p>
    <w:p w14:paraId="2DE0D7BC" w14:textId="77777777" w:rsidR="00A4470D" w:rsidRPr="00A4470D" w:rsidRDefault="00A4470D" w:rsidP="00A4470D">
      <w:pPr>
        <w:rPr>
          <w:b/>
          <w:bCs/>
        </w:rPr>
      </w:pPr>
      <w:r w:rsidRPr="00A4470D">
        <w:rPr>
          <w:b/>
          <w:bCs/>
        </w:rPr>
        <w:t>Recent Board Discussions</w:t>
      </w:r>
    </w:p>
    <w:p w14:paraId="25C12555" w14:textId="77777777" w:rsidR="00A4470D" w:rsidRPr="00A4470D" w:rsidRDefault="00A4470D" w:rsidP="00A4470D">
      <w:r w:rsidRPr="00A4470D">
        <w:t>The meeting addressed a wide range of technical issues.</w:t>
      </w:r>
    </w:p>
    <w:p w14:paraId="7DC20624" w14:textId="77777777" w:rsidR="00A4470D" w:rsidRPr="00A4470D" w:rsidRDefault="00A4470D" w:rsidP="00A4470D">
      <w:r w:rsidRPr="00A4470D">
        <w:t>The Board completed due process for the proposed Nature-related Practice Statement.</w:t>
      </w:r>
    </w:p>
    <w:p w14:paraId="1772923C" w14:textId="77777777" w:rsidR="00A4470D" w:rsidRPr="00A4470D" w:rsidRDefault="00A4470D" w:rsidP="00A4470D">
      <w:r w:rsidRPr="00A4470D">
        <w:t>It considered the expected effects of introducing new guidance.</w:t>
      </w:r>
    </w:p>
    <w:p w14:paraId="2160C4B7" w14:textId="77777777" w:rsidR="00A4470D" w:rsidRPr="00A4470D" w:rsidRDefault="00A4470D" w:rsidP="00A4470D">
      <w:r w:rsidRPr="00A4470D">
        <w:t xml:space="preserve">It discussed how future SASB enhancements should be </w:t>
      </w:r>
      <w:proofErr w:type="spellStart"/>
      <w:r w:rsidRPr="00A4470D">
        <w:t>prioritised</w:t>
      </w:r>
      <w:proofErr w:type="spellEnd"/>
      <w:r w:rsidRPr="00A4470D">
        <w:t>.</w:t>
      </w:r>
    </w:p>
    <w:p w14:paraId="18676DCF" w14:textId="77777777" w:rsidR="00A4470D" w:rsidRPr="00A4470D" w:rsidRDefault="00A4470D" w:rsidP="00A4470D">
      <w:r w:rsidRPr="00A4470D">
        <w:t xml:space="preserve">It also examined how implementation resources </w:t>
      </w:r>
      <w:proofErr w:type="gramStart"/>
      <w:r w:rsidRPr="00A4470D">
        <w:t>could be</w:t>
      </w:r>
      <w:proofErr w:type="gramEnd"/>
      <w:r w:rsidRPr="00A4470D">
        <w:t xml:space="preserve"> </w:t>
      </w:r>
      <w:proofErr w:type="spellStart"/>
      <w:r w:rsidRPr="00A4470D">
        <w:t>be</w:t>
      </w:r>
      <w:proofErr w:type="spellEnd"/>
      <w:r w:rsidRPr="00A4470D">
        <w:t xml:space="preserve"> directed where they would provide the greatest benefit.</w:t>
      </w:r>
    </w:p>
    <w:p w14:paraId="52EC630F" w14:textId="77777777" w:rsidR="00A4470D" w:rsidRPr="00A4470D" w:rsidRDefault="00A4470D" w:rsidP="00A4470D">
      <w:r w:rsidRPr="00A4470D">
        <w:t>Viewed individually, each discussion focused on a different aspect of sustainability standard-setting.</w:t>
      </w:r>
    </w:p>
    <w:p w14:paraId="51A10D84" w14:textId="77777777" w:rsidR="00A4470D" w:rsidRPr="00A4470D" w:rsidRDefault="00A4470D" w:rsidP="00A4470D">
      <w:r w:rsidRPr="00A4470D">
        <w:t>Viewed collectively, however, they begin to point toward a remarkably similar direction.</w:t>
      </w:r>
    </w:p>
    <w:p w14:paraId="2A905D57" w14:textId="77777777" w:rsidR="00A4470D" w:rsidRPr="00A4470D" w:rsidRDefault="00A4470D" w:rsidP="00A4470D">
      <w:r w:rsidRPr="00A4470D">
        <w:t>See content credentials</w:t>
      </w:r>
    </w:p>
    <w:p w14:paraId="7F59AB04" w14:textId="1FEB55CF" w:rsidR="00A4470D" w:rsidRPr="00A4470D" w:rsidRDefault="00A4470D" w:rsidP="00A4470D">
      <w:r w:rsidRPr="00A4470D">
        <w:lastRenderedPageBreak/>
        <w:drawing>
          <wp:inline distT="0" distB="0" distL="0" distR="0" wp14:anchorId="4EF1755E" wp14:editId="3A59BE6E">
            <wp:extent cx="5274310" cy="7911465"/>
            <wp:effectExtent l="0" t="0" r="2540" b="0"/>
            <wp:docPr id="2072937749" name="圖片 7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88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2C58B" w14:textId="77777777" w:rsidR="00A4470D" w:rsidRPr="00A4470D" w:rsidRDefault="00A4470D" w:rsidP="00A4470D">
      <w:r w:rsidRPr="00A4470D">
        <w:t>Due process governs publication. Evidence Infrastructure enables implementation.</w:t>
      </w:r>
    </w:p>
    <w:p w14:paraId="3B614089" w14:textId="77777777" w:rsidR="00A4470D" w:rsidRPr="00A4470D" w:rsidRDefault="00A4470D" w:rsidP="00A4470D">
      <w:r w:rsidRPr="00A4470D">
        <w:lastRenderedPageBreak/>
        <w:pict w14:anchorId="20306DC5">
          <v:rect id="_x0000_i1091" style="width:486pt;height:.75pt" o:hrpct="0" o:hralign="center" o:hrstd="t" o:hr="t" fillcolor="#a0a0a0" stroked="f"/>
        </w:pict>
      </w:r>
    </w:p>
    <w:p w14:paraId="1CF595D9" w14:textId="77777777" w:rsidR="00A4470D" w:rsidRPr="00A4470D" w:rsidRDefault="00A4470D" w:rsidP="00A4470D">
      <w:pPr>
        <w:rPr>
          <w:b/>
          <w:bCs/>
        </w:rPr>
      </w:pPr>
      <w:r w:rsidRPr="00A4470D">
        <w:rPr>
          <w:b/>
          <w:bCs/>
        </w:rPr>
        <w:t>Emerging Questions</w:t>
      </w:r>
    </w:p>
    <w:p w14:paraId="148263A7" w14:textId="77777777" w:rsidR="00A4470D" w:rsidRPr="00A4470D" w:rsidRDefault="00A4470D" w:rsidP="00A4470D">
      <w:r w:rsidRPr="00A4470D">
        <w:t>Across the Board discussions, several recurring questions continue to surface.</w:t>
      </w:r>
    </w:p>
    <w:p w14:paraId="6935AB86" w14:textId="77777777" w:rsidR="00A4470D" w:rsidRPr="00A4470D" w:rsidRDefault="00A4470D" w:rsidP="00A4470D">
      <w:r w:rsidRPr="00A4470D">
        <w:t>Implementation readiness.</w:t>
      </w:r>
    </w:p>
    <w:p w14:paraId="4B0213D0" w14:textId="77777777" w:rsidR="00A4470D" w:rsidRPr="00A4470D" w:rsidRDefault="00A4470D" w:rsidP="00A4470D">
      <w:r w:rsidRPr="00A4470D">
        <w:t>Operational feasibility.</w:t>
      </w:r>
    </w:p>
    <w:p w14:paraId="29BEEE20" w14:textId="77777777" w:rsidR="00A4470D" w:rsidRPr="00A4470D" w:rsidRDefault="00A4470D" w:rsidP="00A4470D">
      <w:r w:rsidRPr="00A4470D">
        <w:t>Cost-benefit balance.</w:t>
      </w:r>
    </w:p>
    <w:p w14:paraId="1CC21A1E" w14:textId="77777777" w:rsidR="00A4470D" w:rsidRPr="00A4470D" w:rsidRDefault="00A4470D" w:rsidP="00A4470D">
      <w:r w:rsidRPr="00A4470D">
        <w:t xml:space="preserve">Resource </w:t>
      </w:r>
      <w:proofErr w:type="spellStart"/>
      <w:r w:rsidRPr="00A4470D">
        <w:t>prioritisation</w:t>
      </w:r>
      <w:proofErr w:type="spellEnd"/>
      <w:r w:rsidRPr="00A4470D">
        <w:t>.</w:t>
      </w:r>
    </w:p>
    <w:p w14:paraId="5D70B83B" w14:textId="77777777" w:rsidR="00A4470D" w:rsidRPr="00A4470D" w:rsidRDefault="00A4470D" w:rsidP="00A4470D">
      <w:r w:rsidRPr="00A4470D">
        <w:t>Scalability.</w:t>
      </w:r>
    </w:p>
    <w:p w14:paraId="48588646" w14:textId="77777777" w:rsidR="00A4470D" w:rsidRPr="00A4470D" w:rsidRDefault="00A4470D" w:rsidP="00A4470D">
      <w:r w:rsidRPr="00A4470D">
        <w:t>Investor usefulness.</w:t>
      </w:r>
    </w:p>
    <w:p w14:paraId="07241947" w14:textId="77777777" w:rsidR="00A4470D" w:rsidRPr="00A4470D" w:rsidRDefault="00A4470D" w:rsidP="00A4470D">
      <w:r w:rsidRPr="00A4470D">
        <w:t>Different technical decisions.</w:t>
      </w:r>
    </w:p>
    <w:p w14:paraId="0EEA7736" w14:textId="77777777" w:rsidR="00A4470D" w:rsidRPr="00A4470D" w:rsidRDefault="00A4470D" w:rsidP="00A4470D">
      <w:r w:rsidRPr="00A4470D">
        <w:t xml:space="preserve">Yet </w:t>
      </w:r>
      <w:proofErr w:type="gramStart"/>
      <w:r w:rsidRPr="00A4470D">
        <w:t>increasingly</w:t>
      </w:r>
      <w:proofErr w:type="gramEnd"/>
      <w:r w:rsidRPr="00A4470D">
        <w:t xml:space="preserve"> similar implementation questions.</w:t>
      </w:r>
    </w:p>
    <w:p w14:paraId="53EC11DB" w14:textId="77777777" w:rsidR="00A4470D" w:rsidRPr="00A4470D" w:rsidRDefault="00A4470D" w:rsidP="00A4470D">
      <w:r w:rsidRPr="00A4470D">
        <w:t>How can global standards remain practical across different industries?</w:t>
      </w:r>
    </w:p>
    <w:p w14:paraId="2275E417" w14:textId="77777777" w:rsidR="00A4470D" w:rsidRPr="00A4470D" w:rsidRDefault="00A4470D" w:rsidP="00A4470D">
      <w:r w:rsidRPr="00A4470D">
        <w:t>How should implementation capacity influence future priorities?</w:t>
      </w:r>
    </w:p>
    <w:p w14:paraId="1FBBFE8E" w14:textId="77777777" w:rsidR="00A4470D" w:rsidRPr="00A4470D" w:rsidRDefault="00A4470D" w:rsidP="00A4470D">
      <w:r w:rsidRPr="00A4470D">
        <w:t>How can guidance evolve without creating unnecessary complexity?</w:t>
      </w:r>
    </w:p>
    <w:p w14:paraId="0A2149E8" w14:textId="77777777" w:rsidR="00A4470D" w:rsidRPr="00A4470D" w:rsidRDefault="00A4470D" w:rsidP="00A4470D">
      <w:r w:rsidRPr="00A4470D">
        <w:t>As sustainability standards continue to mature, these questions appear to be becoming increasingly central to future standard-setting.</w:t>
      </w:r>
    </w:p>
    <w:p w14:paraId="3A1D0539" w14:textId="77777777" w:rsidR="00A4470D" w:rsidRPr="00A4470D" w:rsidRDefault="00A4470D" w:rsidP="00A4470D">
      <w:r w:rsidRPr="00A4470D">
        <w:t>See content credentials</w:t>
      </w:r>
    </w:p>
    <w:p w14:paraId="065E418A" w14:textId="006A1691" w:rsidR="00A4470D" w:rsidRPr="00A4470D" w:rsidRDefault="00A4470D" w:rsidP="00A4470D">
      <w:r w:rsidRPr="00A4470D">
        <w:lastRenderedPageBreak/>
        <w:drawing>
          <wp:inline distT="0" distB="0" distL="0" distR="0" wp14:anchorId="7CEFD124" wp14:editId="5D50D0E0">
            <wp:extent cx="5274310" cy="7911465"/>
            <wp:effectExtent l="0" t="0" r="2540" b="0"/>
            <wp:docPr id="871623757" name="圖片 6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03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4F8D6" w14:textId="77777777" w:rsidR="00A4470D" w:rsidRPr="00A4470D" w:rsidRDefault="00A4470D" w:rsidP="00A4470D">
      <w:r w:rsidRPr="00A4470D">
        <w:t>Guidance creates potential. Evidence Infrastructure turns potential into reality.</w:t>
      </w:r>
    </w:p>
    <w:p w14:paraId="7ECB224C" w14:textId="77777777" w:rsidR="00A4470D" w:rsidRPr="00A4470D" w:rsidRDefault="00A4470D" w:rsidP="00A4470D">
      <w:r w:rsidRPr="00A4470D">
        <w:pict w14:anchorId="17374339">
          <v:rect id="_x0000_i1093" style="width:486pt;height:.75pt" o:hrpct="0" o:hralign="center" o:hrstd="t" o:hr="t" fillcolor="#a0a0a0" stroked="f"/>
        </w:pict>
      </w:r>
    </w:p>
    <w:p w14:paraId="51EFC7C7" w14:textId="77777777" w:rsidR="00A4470D" w:rsidRPr="00A4470D" w:rsidRDefault="00A4470D" w:rsidP="00A4470D">
      <w:pPr>
        <w:rPr>
          <w:b/>
          <w:bCs/>
        </w:rPr>
      </w:pPr>
      <w:r w:rsidRPr="00A4470D">
        <w:rPr>
          <w:b/>
          <w:bCs/>
        </w:rPr>
        <w:lastRenderedPageBreak/>
        <w:t>A Broader Institutional Signal</w:t>
      </w:r>
    </w:p>
    <w:p w14:paraId="76CFF508" w14:textId="77777777" w:rsidR="00A4470D" w:rsidRPr="00A4470D" w:rsidRDefault="00A4470D" w:rsidP="00A4470D">
      <w:r w:rsidRPr="00A4470D">
        <w:t>Historically, sustainability discussions have largely focused on developing new disclosure requirements.</w:t>
      </w:r>
    </w:p>
    <w:p w14:paraId="22F828A6" w14:textId="77777777" w:rsidR="00A4470D" w:rsidRPr="00A4470D" w:rsidRDefault="00A4470D" w:rsidP="00A4470D">
      <w:r w:rsidRPr="00A4470D">
        <w:t>Today, another pattern may be beginning to emerge.</w:t>
      </w:r>
    </w:p>
    <w:p w14:paraId="253C1BC8" w14:textId="77777777" w:rsidR="00A4470D" w:rsidRPr="00A4470D" w:rsidRDefault="00A4470D" w:rsidP="00A4470D">
      <w:r w:rsidRPr="00A4470D">
        <w:t>As reporting ecosystems mature, greater attention is increasingly being given to the institutional conditions required for implementation.</w:t>
      </w:r>
    </w:p>
    <w:p w14:paraId="0E029955" w14:textId="77777777" w:rsidR="00A4470D" w:rsidRPr="00A4470D" w:rsidRDefault="00A4470D" w:rsidP="00A4470D">
      <w:r w:rsidRPr="00A4470D">
        <w:t>Not simply stronger standards.</w:t>
      </w:r>
    </w:p>
    <w:p w14:paraId="14C104E8" w14:textId="77777777" w:rsidR="00A4470D" w:rsidRPr="00A4470D" w:rsidRDefault="00A4470D" w:rsidP="00A4470D">
      <w:r w:rsidRPr="00A4470D">
        <w:t>But stronger implementation capability.</w:t>
      </w:r>
    </w:p>
    <w:p w14:paraId="4BE60682" w14:textId="77777777" w:rsidR="00A4470D" w:rsidRPr="00A4470D" w:rsidRDefault="00A4470D" w:rsidP="00A4470D">
      <w:r w:rsidRPr="00A4470D">
        <w:t>Not simply broader disclosure.</w:t>
      </w:r>
    </w:p>
    <w:p w14:paraId="529474FA" w14:textId="77777777" w:rsidR="00A4470D" w:rsidRPr="00A4470D" w:rsidRDefault="00A4470D" w:rsidP="00A4470D">
      <w:r w:rsidRPr="00A4470D">
        <w:t>But greater operational readiness.</w:t>
      </w:r>
    </w:p>
    <w:p w14:paraId="24588D2A" w14:textId="77777777" w:rsidR="00A4470D" w:rsidRPr="00A4470D" w:rsidRDefault="00A4470D" w:rsidP="00A4470D">
      <w:r w:rsidRPr="00A4470D">
        <w:t>Not simply additional guidance.</w:t>
      </w:r>
    </w:p>
    <w:p w14:paraId="742C3EC6" w14:textId="77777777" w:rsidR="00A4470D" w:rsidRPr="00A4470D" w:rsidRDefault="00A4470D" w:rsidP="00A4470D">
      <w:r w:rsidRPr="00A4470D">
        <w:t xml:space="preserve">But the practical ability to apply that guidance consistently across </w:t>
      </w:r>
      <w:proofErr w:type="spellStart"/>
      <w:r w:rsidRPr="00A4470D">
        <w:t>organisations</w:t>
      </w:r>
      <w:proofErr w:type="spellEnd"/>
      <w:r w:rsidRPr="00A4470D">
        <w:t xml:space="preserve"> and jurisdictions.</w:t>
      </w:r>
    </w:p>
    <w:p w14:paraId="60712CCF" w14:textId="77777777" w:rsidR="00A4470D" w:rsidRPr="00A4470D" w:rsidRDefault="00A4470D" w:rsidP="00A4470D">
      <w:r w:rsidRPr="00A4470D">
        <w:t>The discussion is gradually moving beyond what should be reported.</w:t>
      </w:r>
    </w:p>
    <w:p w14:paraId="70D0FD34" w14:textId="77777777" w:rsidR="00A4470D" w:rsidRPr="00A4470D" w:rsidRDefault="00A4470D" w:rsidP="00A4470D">
      <w:r w:rsidRPr="00A4470D">
        <w:t>It is increasingly examining what makes reporting possible.</w:t>
      </w:r>
    </w:p>
    <w:p w14:paraId="1C8EA556" w14:textId="77777777" w:rsidR="00A4470D" w:rsidRPr="00A4470D" w:rsidRDefault="00A4470D" w:rsidP="00A4470D">
      <w:r w:rsidRPr="00A4470D">
        <w:t>See content credentials</w:t>
      </w:r>
    </w:p>
    <w:p w14:paraId="27698805" w14:textId="6122B7D4" w:rsidR="00A4470D" w:rsidRPr="00A4470D" w:rsidRDefault="00A4470D" w:rsidP="00A4470D">
      <w:r w:rsidRPr="00A4470D">
        <w:lastRenderedPageBreak/>
        <w:drawing>
          <wp:inline distT="0" distB="0" distL="0" distR="0" wp14:anchorId="3E1A9FF9" wp14:editId="47B0B529">
            <wp:extent cx="5274310" cy="7911465"/>
            <wp:effectExtent l="0" t="0" r="2540" b="0"/>
            <wp:docPr id="64769365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16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3EF00" w14:textId="77777777" w:rsidR="00A4470D" w:rsidRPr="00A4470D" w:rsidRDefault="00A4470D" w:rsidP="00A4470D">
      <w:r w:rsidRPr="00A4470D">
        <w:t>Future priorities increasingly depend on implementation capacity, not ambition.</w:t>
      </w:r>
    </w:p>
    <w:p w14:paraId="44449BE8" w14:textId="77777777" w:rsidR="00A4470D" w:rsidRPr="00A4470D" w:rsidRDefault="00A4470D" w:rsidP="00A4470D">
      <w:r w:rsidRPr="00A4470D">
        <w:pict w14:anchorId="1E77EB20">
          <v:rect id="_x0000_i1095" style="width:486pt;height:.75pt" o:hrpct="0" o:hralign="center" o:hrstd="t" o:hr="t" fillcolor="#a0a0a0" stroked="f"/>
        </w:pict>
      </w:r>
    </w:p>
    <w:p w14:paraId="171DE302" w14:textId="77777777" w:rsidR="00A4470D" w:rsidRPr="00A4470D" w:rsidRDefault="00A4470D" w:rsidP="00A4470D">
      <w:pPr>
        <w:rPr>
          <w:b/>
          <w:bCs/>
        </w:rPr>
      </w:pPr>
      <w:r w:rsidRPr="00A4470D">
        <w:rPr>
          <w:b/>
          <w:bCs/>
        </w:rPr>
        <w:lastRenderedPageBreak/>
        <w:t>Evidence Infrastructure Perspective</w:t>
      </w:r>
    </w:p>
    <w:p w14:paraId="709A8164" w14:textId="77777777" w:rsidR="00A4470D" w:rsidRPr="00A4470D" w:rsidRDefault="00A4470D" w:rsidP="00A4470D">
      <w:r w:rsidRPr="00A4470D">
        <w:t>Viewed through an Evidence Infrastructure perspective, the July 2026 ISSB Board Meeting reflects more than a collection of technical Board decisions.</w:t>
      </w:r>
    </w:p>
    <w:p w14:paraId="7262C5F9" w14:textId="77777777" w:rsidR="00A4470D" w:rsidRPr="00A4470D" w:rsidRDefault="00A4470D" w:rsidP="00A4470D">
      <w:r w:rsidRPr="00A4470D">
        <w:t>It reflects the continuing evolution of global sustainability governance.</w:t>
      </w:r>
    </w:p>
    <w:p w14:paraId="5251C9FB" w14:textId="77777777" w:rsidR="00A4470D" w:rsidRPr="00A4470D" w:rsidRDefault="00A4470D" w:rsidP="00A4470D">
      <w:r w:rsidRPr="00A4470D">
        <w:t>Reporting remains essential.</w:t>
      </w:r>
    </w:p>
    <w:p w14:paraId="26BE8B03" w14:textId="77777777" w:rsidR="00A4470D" w:rsidRPr="00A4470D" w:rsidRDefault="00A4470D" w:rsidP="00A4470D">
      <w:r w:rsidRPr="00A4470D">
        <w:t>Assurance remains essential.</w:t>
      </w:r>
    </w:p>
    <w:p w14:paraId="76E7A9FC" w14:textId="77777777" w:rsidR="00A4470D" w:rsidRPr="00A4470D" w:rsidRDefault="00A4470D" w:rsidP="00A4470D">
      <w:r w:rsidRPr="00A4470D">
        <w:t>Governance remains essential.</w:t>
      </w:r>
    </w:p>
    <w:p w14:paraId="307115B8" w14:textId="77777777" w:rsidR="00A4470D" w:rsidRPr="00A4470D" w:rsidRDefault="00A4470D" w:rsidP="00A4470D">
      <w:r w:rsidRPr="00A4470D">
        <w:t>Yet all three increasingly depend upon capabilities that exist much earlier.</w:t>
      </w:r>
    </w:p>
    <w:p w14:paraId="7D5B0058" w14:textId="77777777" w:rsidR="00A4470D" w:rsidRPr="00A4470D" w:rsidRDefault="00A4470D" w:rsidP="00A4470D">
      <w:r w:rsidRPr="00A4470D">
        <w:t>Before information can be disclosed, it must first be generated.</w:t>
      </w:r>
    </w:p>
    <w:p w14:paraId="27291B45" w14:textId="77777777" w:rsidR="00A4470D" w:rsidRPr="00A4470D" w:rsidRDefault="00A4470D" w:rsidP="00A4470D">
      <w:r w:rsidRPr="00A4470D">
        <w:t>Before it can be assured, it must first be supported.</w:t>
      </w:r>
    </w:p>
    <w:p w14:paraId="6F07DDBC" w14:textId="77777777" w:rsidR="00A4470D" w:rsidRPr="00A4470D" w:rsidRDefault="00A4470D" w:rsidP="00A4470D">
      <w:r w:rsidRPr="00A4470D">
        <w:t>Before it can be trusted, it must first remain reliable throughout its operational lifecycle.</w:t>
      </w:r>
    </w:p>
    <w:p w14:paraId="1BD273EE" w14:textId="77777777" w:rsidR="00A4470D" w:rsidRPr="00A4470D" w:rsidRDefault="00A4470D" w:rsidP="00A4470D">
      <w:r w:rsidRPr="00A4470D">
        <w:t>Viewed from this perspective, the discussion surrounding Evidence Infrastructure becomes less about technology itself and more about the institutional conditions that enable trustworthy sustainability reporting.</w:t>
      </w:r>
    </w:p>
    <w:p w14:paraId="73B62409" w14:textId="77777777" w:rsidR="00A4470D" w:rsidRPr="00A4470D" w:rsidRDefault="00A4470D" w:rsidP="00A4470D">
      <w:r w:rsidRPr="00A4470D">
        <w:pict w14:anchorId="7983F207">
          <v:rect id="_x0000_i1096" style="width:486pt;height:.75pt" o:hrpct="0" o:hralign="center" o:hrstd="t" o:hr="t" fillcolor="#a0a0a0" stroked="f"/>
        </w:pict>
      </w:r>
    </w:p>
    <w:p w14:paraId="2D915E6A" w14:textId="77777777" w:rsidR="00A4470D" w:rsidRPr="00A4470D" w:rsidRDefault="00A4470D" w:rsidP="00A4470D">
      <w:pPr>
        <w:rPr>
          <w:b/>
          <w:bCs/>
        </w:rPr>
      </w:pPr>
      <w:r w:rsidRPr="00A4470D">
        <w:rPr>
          <w:b/>
          <w:bCs/>
        </w:rPr>
        <w:t>Closing Reflection</w:t>
      </w:r>
    </w:p>
    <w:p w14:paraId="3CDFC6C6" w14:textId="77777777" w:rsidR="00A4470D" w:rsidRPr="00A4470D" w:rsidRDefault="00A4470D" w:rsidP="00A4470D">
      <w:r w:rsidRPr="00A4470D">
        <w:t>The July 2026 ISSB Board Meeting will likely be remembered for its decisions on nature-related guidance and future standard-setting priorities.</w:t>
      </w:r>
    </w:p>
    <w:p w14:paraId="6FD97198" w14:textId="77777777" w:rsidR="00A4470D" w:rsidRPr="00A4470D" w:rsidRDefault="00A4470D" w:rsidP="00A4470D">
      <w:r w:rsidRPr="00A4470D">
        <w:t>Yet another signal may also be emerging.</w:t>
      </w:r>
    </w:p>
    <w:p w14:paraId="03E7C1FE" w14:textId="77777777" w:rsidR="00A4470D" w:rsidRPr="00A4470D" w:rsidRDefault="00A4470D" w:rsidP="00A4470D">
      <w:r w:rsidRPr="00A4470D">
        <w:t>The future challenge may not simply be developing better sustainability standards.</w:t>
      </w:r>
    </w:p>
    <w:p w14:paraId="6D09E4CB" w14:textId="77777777" w:rsidR="00A4470D" w:rsidRPr="00A4470D" w:rsidRDefault="00A4470D" w:rsidP="00A4470D">
      <w:r w:rsidRPr="00A4470D">
        <w:t>It may increasingly be understanding the conditions that allow those standards to function consistently across the global economy.</w:t>
      </w:r>
    </w:p>
    <w:p w14:paraId="2F9B3071" w14:textId="77777777" w:rsidR="00A4470D" w:rsidRPr="00A4470D" w:rsidRDefault="00A4470D" w:rsidP="00A4470D">
      <w:r w:rsidRPr="00A4470D">
        <w:t>Different decisions.</w:t>
      </w:r>
    </w:p>
    <w:p w14:paraId="6F9E19B8" w14:textId="77777777" w:rsidR="00A4470D" w:rsidRPr="00A4470D" w:rsidRDefault="00A4470D" w:rsidP="00A4470D">
      <w:r w:rsidRPr="00A4470D">
        <w:t>Remarkably similar questions.</w:t>
      </w:r>
    </w:p>
    <w:p w14:paraId="1F4D8A4D" w14:textId="77777777" w:rsidR="00A4470D" w:rsidRPr="00A4470D" w:rsidRDefault="00A4470D" w:rsidP="00A4470D">
      <w:r w:rsidRPr="00A4470D">
        <w:lastRenderedPageBreak/>
        <w:t xml:space="preserve">Perhaps the next evolution of sustainability reporting will not be defined solely by what </w:t>
      </w:r>
      <w:proofErr w:type="spellStart"/>
      <w:r w:rsidRPr="00A4470D">
        <w:t>organisations</w:t>
      </w:r>
      <w:proofErr w:type="spellEnd"/>
      <w:r w:rsidRPr="00A4470D">
        <w:t xml:space="preserve"> disclose.</w:t>
      </w:r>
    </w:p>
    <w:p w14:paraId="7CBF7985" w14:textId="77777777" w:rsidR="00A4470D" w:rsidRPr="00A4470D" w:rsidRDefault="00A4470D" w:rsidP="00A4470D">
      <w:r w:rsidRPr="00A4470D">
        <w:t>It may increasingly be defined by the institutional capabilities that make trustworthy disclosure possible.</w:t>
      </w:r>
    </w:p>
    <w:p w14:paraId="58A5E371" w14:textId="77777777" w:rsidR="00A4470D" w:rsidRPr="00A4470D" w:rsidRDefault="00A4470D" w:rsidP="00A4470D">
      <w:r w:rsidRPr="00A4470D">
        <w:pict w14:anchorId="55E8FAB7">
          <v:rect id="_x0000_i1097" style="width:486pt;height:.75pt" o:hrpct="0" o:hralign="center" o:hrstd="t" o:hr="t" fillcolor="#a0a0a0" stroked="f"/>
        </w:pict>
      </w:r>
    </w:p>
    <w:p w14:paraId="6F135744" w14:textId="77777777" w:rsidR="00A4470D" w:rsidRPr="00A4470D" w:rsidRDefault="00A4470D" w:rsidP="00A4470D">
      <w:pPr>
        <w:rPr>
          <w:b/>
          <w:bCs/>
        </w:rPr>
      </w:pPr>
      <w:r w:rsidRPr="00A4470D">
        <w:rPr>
          <w:b/>
          <w:bCs/>
        </w:rPr>
        <w:t>Evidence Infrastructure Signal</w:t>
      </w:r>
    </w:p>
    <w:p w14:paraId="5407B726" w14:textId="77777777" w:rsidR="00A4470D" w:rsidRPr="00A4470D" w:rsidRDefault="00A4470D" w:rsidP="00A4470D">
      <w:r w:rsidRPr="00A4470D">
        <w:rPr>
          <w:b/>
          <w:bCs/>
        </w:rPr>
        <w:t>Evidence Infrastructure Signal</w:t>
      </w:r>
      <w:r w:rsidRPr="00A4470D">
        <w:t xml:space="preserve"> is an ongoing publication series examining structural developments across global sustainability governance.</w:t>
      </w:r>
    </w:p>
    <w:p w14:paraId="470A18ED" w14:textId="77777777" w:rsidR="00A4470D" w:rsidRPr="00A4470D" w:rsidRDefault="00A4470D" w:rsidP="00A4470D">
      <w:r w:rsidRPr="00A4470D">
        <w:t xml:space="preserve">Rather than </w:t>
      </w:r>
      <w:proofErr w:type="spellStart"/>
      <w:r w:rsidRPr="00A4470D">
        <w:t>analysing</w:t>
      </w:r>
      <w:proofErr w:type="spellEnd"/>
      <w:r w:rsidRPr="00A4470D">
        <w:t xml:space="preserve"> individual events in isolation, the series explores how developments across standards, regulation, institutions and implementation may collectively reveal broader shifts in interoperability, traceability, institutional capability and Evidence Infrastructure.</w:t>
      </w:r>
    </w:p>
    <w:p w14:paraId="696B1A0E" w14:textId="77777777" w:rsidR="00A4470D" w:rsidRPr="00A4470D" w:rsidRDefault="00A4470D" w:rsidP="00A4470D">
      <w:r w:rsidRPr="00A4470D">
        <w:t>The objective is not to predict outcomes, but to observe emerging patterns that may influence the future direction of sustainability ecosystems.</w:t>
      </w:r>
    </w:p>
    <w:p w14:paraId="4CD382BF" w14:textId="77777777" w:rsidR="00A4470D" w:rsidRPr="00A4470D" w:rsidRDefault="00A4470D" w:rsidP="00A4470D">
      <w:r w:rsidRPr="00A4470D">
        <w:t>Illustrative ecosystem observations only.</w:t>
      </w:r>
    </w:p>
    <w:p w14:paraId="3CB56486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32"/>
    <w:rsid w:val="0048452E"/>
    <w:rsid w:val="007E240A"/>
    <w:rsid w:val="00A4470D"/>
    <w:rsid w:val="00B159C3"/>
    <w:rsid w:val="00DE0932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8E53F"/>
  <w15:chartTrackingRefBased/>
  <w15:docId w15:val="{CE9A8603-DB85-4EE5-A6E5-06BEDA42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E09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093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093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0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093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093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093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093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E09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E0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E093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E0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E093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E093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E093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E093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E09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093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E0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09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E09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0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E09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09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E09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0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E09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E093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4470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447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emj.life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838</Words>
  <Characters>4781</Characters>
  <Application>Microsoft Office Word</Application>
  <DocSecurity>0</DocSecurity>
  <Lines>39</Lines>
  <Paragraphs>11</Paragraphs>
  <ScaleCrop>false</ScaleCrop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2026-08-16T09:06:00Z</dcterms:created>
  <dcterms:modified xsi:type="dcterms:W3CDTF">2026-08-16T09:07:00Z</dcterms:modified>
</cp:coreProperties>
</file>