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BEF91" w14:textId="77777777" w:rsidR="00996CCE" w:rsidRDefault="00996CCE" w:rsidP="00996CCE">
      <w:pPr>
        <w:rPr>
          <w:b/>
          <w:bCs/>
        </w:rPr>
      </w:pPr>
      <w:r w:rsidRPr="00996CCE">
        <w:rPr>
          <w:b/>
          <w:bCs/>
        </w:rPr>
        <w:t xml:space="preserve">Evidence Infrastructure Signal · 003 </w:t>
      </w:r>
    </w:p>
    <w:p w14:paraId="66325E2A" w14:textId="7411955C" w:rsidR="00996CCE" w:rsidRPr="00996CCE" w:rsidRDefault="00996CCE" w:rsidP="00996CCE">
      <w:pPr>
        <w:rPr>
          <w:b/>
          <w:bCs/>
        </w:rPr>
      </w:pPr>
      <w:r w:rsidRPr="00996CCE">
        <w:rPr>
          <w:b/>
          <w:bCs/>
        </w:rPr>
        <w:t>Why Sustainability Infrastructure Now Depends on Continuity</w:t>
      </w:r>
    </w:p>
    <w:p w14:paraId="5C7ACF2E" w14:textId="77777777" w:rsidR="00996CCE" w:rsidRPr="00996CCE" w:rsidRDefault="00996CCE" w:rsidP="00996CCE">
      <w:r w:rsidRPr="00996CCE">
        <w:t>May 24, 2026</w:t>
      </w:r>
    </w:p>
    <w:p w14:paraId="6E6B08ED" w14:textId="77777777" w:rsidR="00996CCE" w:rsidRPr="00996CCE" w:rsidRDefault="00996CCE" w:rsidP="00996CCE">
      <w:pPr>
        <w:rPr>
          <w:b/>
          <w:bCs/>
        </w:rPr>
      </w:pPr>
      <w:r w:rsidRPr="00996CCE">
        <w:rPr>
          <w:b/>
          <w:bCs/>
        </w:rPr>
        <w:t>Different frameworks. Same dependency.</w:t>
      </w:r>
    </w:p>
    <w:p w14:paraId="1B42578C" w14:textId="77777777" w:rsidR="00996CCE" w:rsidRPr="00996CCE" w:rsidRDefault="00996CCE" w:rsidP="00996CCE">
      <w:r w:rsidRPr="00996CCE">
        <w:t>Over the past several months, a broader structural pattern has continued to emerge across the global sustainability ecosystem.</w:t>
      </w:r>
    </w:p>
    <w:p w14:paraId="5B255B9E" w14:textId="77777777" w:rsidR="00996CCE" w:rsidRPr="00996CCE" w:rsidRDefault="00996CCE" w:rsidP="00996CCE">
      <w:r w:rsidRPr="00996CCE">
        <w:t xml:space="preserve">At first glance, many developments still appear </w:t>
      </w:r>
      <w:proofErr w:type="gramStart"/>
      <w:r w:rsidRPr="00996CCE">
        <w:t>separate</w:t>
      </w:r>
      <w:proofErr w:type="gramEnd"/>
      <w:r w:rsidRPr="00996CCE">
        <w:t>:</w:t>
      </w:r>
    </w:p>
    <w:p w14:paraId="43389A5C" w14:textId="77777777" w:rsidR="00996CCE" w:rsidRPr="00996CCE" w:rsidRDefault="00996CCE" w:rsidP="00996CCE">
      <w:pPr>
        <w:numPr>
          <w:ilvl w:val="0"/>
          <w:numId w:val="1"/>
        </w:numPr>
      </w:pPr>
      <w:r w:rsidRPr="00996CCE">
        <w:rPr>
          <w:b/>
          <w:bCs/>
        </w:rPr>
        <w:t>IFRS interoperability discussions</w:t>
      </w:r>
    </w:p>
    <w:p w14:paraId="6D868CB7" w14:textId="77777777" w:rsidR="00996CCE" w:rsidRPr="00996CCE" w:rsidRDefault="00996CCE" w:rsidP="00996CCE">
      <w:pPr>
        <w:numPr>
          <w:ilvl w:val="0"/>
          <w:numId w:val="1"/>
        </w:numPr>
      </w:pPr>
      <w:r w:rsidRPr="00996CCE">
        <w:rPr>
          <w:b/>
          <w:bCs/>
        </w:rPr>
        <w:t>GRI implementation and due diligence expansion</w:t>
      </w:r>
    </w:p>
    <w:p w14:paraId="5DD14BC1" w14:textId="77777777" w:rsidR="00996CCE" w:rsidRPr="00996CCE" w:rsidRDefault="00996CCE" w:rsidP="00996CCE">
      <w:pPr>
        <w:numPr>
          <w:ilvl w:val="0"/>
          <w:numId w:val="1"/>
        </w:numPr>
      </w:pPr>
      <w:r w:rsidRPr="00996CCE">
        <w:rPr>
          <w:b/>
          <w:bCs/>
        </w:rPr>
        <w:t>ESRS simplification and comparability debates</w:t>
      </w:r>
    </w:p>
    <w:p w14:paraId="41540DF2" w14:textId="77777777" w:rsidR="00996CCE" w:rsidRPr="00996CCE" w:rsidRDefault="00996CCE" w:rsidP="00996CCE">
      <w:pPr>
        <w:numPr>
          <w:ilvl w:val="0"/>
          <w:numId w:val="1"/>
        </w:numPr>
      </w:pPr>
      <w:r w:rsidRPr="00996CCE">
        <w:rPr>
          <w:b/>
          <w:bCs/>
        </w:rPr>
        <w:t>TNFD and STBN nature-related ecosystem development</w:t>
      </w:r>
    </w:p>
    <w:p w14:paraId="50A7C6CB" w14:textId="77777777" w:rsidR="00996CCE" w:rsidRPr="00996CCE" w:rsidRDefault="00996CCE" w:rsidP="00996CCE">
      <w:pPr>
        <w:numPr>
          <w:ilvl w:val="0"/>
          <w:numId w:val="1"/>
        </w:numPr>
      </w:pPr>
      <w:r w:rsidRPr="00996CCE">
        <w:rPr>
          <w:b/>
          <w:bCs/>
        </w:rPr>
        <w:t>TISFD and social impact governance discussions</w:t>
      </w:r>
    </w:p>
    <w:p w14:paraId="4F823755" w14:textId="77777777" w:rsidR="00996CCE" w:rsidRPr="00996CCE" w:rsidRDefault="00996CCE" w:rsidP="00996CCE">
      <w:pPr>
        <w:numPr>
          <w:ilvl w:val="0"/>
          <w:numId w:val="1"/>
        </w:numPr>
      </w:pPr>
      <w:r w:rsidRPr="00996CCE">
        <w:rPr>
          <w:b/>
          <w:bCs/>
        </w:rPr>
        <w:t>transition finance mechanisms</w:t>
      </w:r>
    </w:p>
    <w:p w14:paraId="51918CB2" w14:textId="77777777" w:rsidR="00996CCE" w:rsidRPr="00996CCE" w:rsidRDefault="00996CCE" w:rsidP="00996CCE">
      <w:pPr>
        <w:numPr>
          <w:ilvl w:val="0"/>
          <w:numId w:val="1"/>
        </w:numPr>
      </w:pPr>
      <w:r w:rsidRPr="00996CCE">
        <w:rPr>
          <w:b/>
          <w:bCs/>
        </w:rPr>
        <w:t>anti-greenwashing requirements</w:t>
      </w:r>
    </w:p>
    <w:p w14:paraId="57CF7A2E" w14:textId="77777777" w:rsidR="00996CCE" w:rsidRPr="00996CCE" w:rsidRDefault="00996CCE" w:rsidP="00996CCE">
      <w:pPr>
        <w:numPr>
          <w:ilvl w:val="0"/>
          <w:numId w:val="1"/>
        </w:numPr>
      </w:pPr>
      <w:r w:rsidRPr="00996CCE">
        <w:rPr>
          <w:b/>
          <w:bCs/>
        </w:rPr>
        <w:t>AI governance and machine-readable reporting systems</w:t>
      </w:r>
    </w:p>
    <w:p w14:paraId="4D8F17AB" w14:textId="77777777" w:rsidR="00996CCE" w:rsidRPr="00996CCE" w:rsidRDefault="00996CCE" w:rsidP="00996CCE">
      <w:pPr>
        <w:numPr>
          <w:ilvl w:val="0"/>
          <w:numId w:val="1"/>
        </w:numPr>
      </w:pPr>
      <w:r w:rsidRPr="00996CCE">
        <w:rPr>
          <w:b/>
          <w:bCs/>
        </w:rPr>
        <w:t>assurance convergence and supply chain traceability</w:t>
      </w:r>
    </w:p>
    <w:p w14:paraId="058BD69D" w14:textId="27658ED6" w:rsidR="00996CCE" w:rsidRPr="00996CCE" w:rsidRDefault="00996CCE" w:rsidP="00996CCE">
      <w:r w:rsidRPr="00996CCE">
        <w:lastRenderedPageBreak/>
        <w:drawing>
          <wp:inline distT="0" distB="0" distL="0" distR="0" wp14:anchorId="6C3C7C97" wp14:editId="6B549859">
            <wp:extent cx="5274310" cy="6593205"/>
            <wp:effectExtent l="0" t="0" r="2540" b="0"/>
            <wp:docPr id="618710545" name="圖片 5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67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9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4F031" w14:textId="77777777" w:rsidR="00996CCE" w:rsidRPr="00996CCE" w:rsidRDefault="00996CCE" w:rsidP="00996CCE">
      <w:r w:rsidRPr="00996CCE">
        <w:t>However, beneath these developments, a deeper common dependency is becoming increasingly visible.</w:t>
      </w:r>
    </w:p>
    <w:p w14:paraId="186F799F" w14:textId="77777777" w:rsidR="00996CCE" w:rsidRPr="00996CCE" w:rsidRDefault="00996CCE" w:rsidP="00996CCE">
      <w:r w:rsidRPr="00996CCE">
        <w:t>The challenge is no longer only disclosure alignment.</w:t>
      </w:r>
    </w:p>
    <w:p w14:paraId="079978DF" w14:textId="77777777" w:rsidR="00996CCE" w:rsidRPr="00996CCE" w:rsidRDefault="00996CCE" w:rsidP="00996CCE">
      <w:r w:rsidRPr="00996CCE">
        <w:t>It is increasingly the continuity, traceability and structural reliability of the evidence beneath disclosure systems.</w:t>
      </w:r>
    </w:p>
    <w:p w14:paraId="25BEA7A7" w14:textId="77777777" w:rsidR="00996CCE" w:rsidRPr="00996CCE" w:rsidRDefault="00996CCE" w:rsidP="00996CCE">
      <w:r w:rsidRPr="00996CCE">
        <w:t xml:space="preserve">Recent dialogues across global sustainability ecosystems, including discussions during Ecosperity Week in Singapore, increasingly suggest that interoperability </w:t>
      </w:r>
      <w:r w:rsidRPr="00996CCE">
        <w:lastRenderedPageBreak/>
        <w:t>alone may no longer be sufficient.</w:t>
      </w:r>
    </w:p>
    <w:p w14:paraId="1E3284B1" w14:textId="77777777" w:rsidR="00996CCE" w:rsidRPr="00996CCE" w:rsidRDefault="00996CCE" w:rsidP="00996CCE">
      <w:r w:rsidRPr="00996CCE">
        <w:t>Different frameworks may align conceptually, while the underlying operational evidence remains:</w:t>
      </w:r>
    </w:p>
    <w:p w14:paraId="131937AC" w14:textId="77777777" w:rsidR="00996CCE" w:rsidRPr="00996CCE" w:rsidRDefault="00996CCE" w:rsidP="00996CCE">
      <w:pPr>
        <w:numPr>
          <w:ilvl w:val="0"/>
          <w:numId w:val="2"/>
        </w:numPr>
      </w:pPr>
      <w:r w:rsidRPr="00996CCE">
        <w:rPr>
          <w:b/>
          <w:bCs/>
        </w:rPr>
        <w:t>fragmented</w:t>
      </w:r>
    </w:p>
    <w:p w14:paraId="49796BE5" w14:textId="77777777" w:rsidR="00996CCE" w:rsidRPr="00996CCE" w:rsidRDefault="00996CCE" w:rsidP="00996CCE">
      <w:pPr>
        <w:numPr>
          <w:ilvl w:val="0"/>
          <w:numId w:val="2"/>
        </w:numPr>
      </w:pPr>
      <w:r w:rsidRPr="00996CCE">
        <w:rPr>
          <w:b/>
          <w:bCs/>
        </w:rPr>
        <w:t>manually reconstructed</w:t>
      </w:r>
    </w:p>
    <w:p w14:paraId="522D02B0" w14:textId="77777777" w:rsidR="00996CCE" w:rsidRPr="00996CCE" w:rsidRDefault="00996CCE" w:rsidP="00996CCE">
      <w:pPr>
        <w:numPr>
          <w:ilvl w:val="0"/>
          <w:numId w:val="2"/>
        </w:numPr>
      </w:pPr>
      <w:r w:rsidRPr="00996CCE">
        <w:rPr>
          <w:b/>
          <w:bCs/>
        </w:rPr>
        <w:t>disconnected across systems</w:t>
      </w:r>
    </w:p>
    <w:p w14:paraId="23CCF341" w14:textId="77777777" w:rsidR="00996CCE" w:rsidRPr="00996CCE" w:rsidRDefault="00996CCE" w:rsidP="00996CCE">
      <w:pPr>
        <w:numPr>
          <w:ilvl w:val="0"/>
          <w:numId w:val="2"/>
        </w:numPr>
      </w:pPr>
      <w:r w:rsidRPr="00996CCE">
        <w:rPr>
          <w:b/>
          <w:bCs/>
        </w:rPr>
        <w:t>inconsistent across supply chains</w:t>
      </w:r>
    </w:p>
    <w:p w14:paraId="089CCBE0" w14:textId="77777777" w:rsidR="00996CCE" w:rsidRPr="00996CCE" w:rsidRDefault="00996CCE" w:rsidP="00996CCE">
      <w:pPr>
        <w:numPr>
          <w:ilvl w:val="0"/>
          <w:numId w:val="2"/>
        </w:numPr>
      </w:pPr>
      <w:r w:rsidRPr="00996CCE">
        <w:rPr>
          <w:b/>
          <w:bCs/>
        </w:rPr>
        <w:t>difficult to verify over time</w:t>
      </w:r>
    </w:p>
    <w:p w14:paraId="0245F9E4" w14:textId="77777777" w:rsidR="00996CCE" w:rsidRPr="00996CCE" w:rsidRDefault="00996CCE" w:rsidP="00996CCE">
      <w:pPr>
        <w:numPr>
          <w:ilvl w:val="0"/>
          <w:numId w:val="2"/>
        </w:numPr>
      </w:pPr>
      <w:r w:rsidRPr="00996CCE">
        <w:rPr>
          <w:b/>
          <w:bCs/>
        </w:rPr>
        <w:t>or structurally separated from real-world operations</w:t>
      </w:r>
    </w:p>
    <w:p w14:paraId="51904511" w14:textId="77777777" w:rsidR="00996CCE" w:rsidRPr="00996CCE" w:rsidRDefault="00996CCE" w:rsidP="00996CCE">
      <w:r w:rsidRPr="00996CCE">
        <w:t>This creates a growing infrastructure gap between:</w:t>
      </w:r>
    </w:p>
    <w:p w14:paraId="26B68195" w14:textId="77777777" w:rsidR="00996CCE" w:rsidRPr="00996CCE" w:rsidRDefault="00996CCE" w:rsidP="00996CCE">
      <w:pPr>
        <w:numPr>
          <w:ilvl w:val="0"/>
          <w:numId w:val="3"/>
        </w:numPr>
      </w:pPr>
      <w:r w:rsidRPr="00996CCE">
        <w:rPr>
          <w:b/>
          <w:bCs/>
        </w:rPr>
        <w:t>operational activities</w:t>
      </w:r>
    </w:p>
    <w:p w14:paraId="42960AE5" w14:textId="77777777" w:rsidR="00996CCE" w:rsidRPr="00996CCE" w:rsidRDefault="00996CCE" w:rsidP="00996CCE">
      <w:pPr>
        <w:numPr>
          <w:ilvl w:val="0"/>
          <w:numId w:val="3"/>
        </w:numPr>
      </w:pPr>
      <w:r w:rsidRPr="00996CCE">
        <w:rPr>
          <w:b/>
          <w:bCs/>
        </w:rPr>
        <w:t>enterprise systems</w:t>
      </w:r>
    </w:p>
    <w:p w14:paraId="112CBDE6" w14:textId="77777777" w:rsidR="00996CCE" w:rsidRPr="00996CCE" w:rsidRDefault="00996CCE" w:rsidP="00996CCE">
      <w:pPr>
        <w:numPr>
          <w:ilvl w:val="0"/>
          <w:numId w:val="3"/>
        </w:numPr>
      </w:pPr>
      <w:r w:rsidRPr="00996CCE">
        <w:rPr>
          <w:b/>
          <w:bCs/>
        </w:rPr>
        <w:t>supply chain events</w:t>
      </w:r>
    </w:p>
    <w:p w14:paraId="7C7DD7B3" w14:textId="77777777" w:rsidR="00996CCE" w:rsidRPr="00996CCE" w:rsidRDefault="00996CCE" w:rsidP="00996CCE">
      <w:pPr>
        <w:numPr>
          <w:ilvl w:val="0"/>
          <w:numId w:val="3"/>
        </w:numPr>
      </w:pPr>
      <w:r w:rsidRPr="00996CCE">
        <w:rPr>
          <w:b/>
          <w:bCs/>
        </w:rPr>
        <w:t>sustainability disclosures</w:t>
      </w:r>
    </w:p>
    <w:p w14:paraId="02C8E23F" w14:textId="77777777" w:rsidR="00996CCE" w:rsidRPr="00996CCE" w:rsidRDefault="00996CCE" w:rsidP="00996CCE">
      <w:pPr>
        <w:numPr>
          <w:ilvl w:val="0"/>
          <w:numId w:val="3"/>
        </w:numPr>
      </w:pPr>
      <w:r w:rsidRPr="00996CCE">
        <w:rPr>
          <w:b/>
          <w:bCs/>
        </w:rPr>
        <w:t>assurance environments</w:t>
      </w:r>
    </w:p>
    <w:p w14:paraId="6F9C33DF" w14:textId="77777777" w:rsidR="00996CCE" w:rsidRPr="00996CCE" w:rsidRDefault="00996CCE" w:rsidP="00996CCE">
      <w:pPr>
        <w:numPr>
          <w:ilvl w:val="0"/>
          <w:numId w:val="3"/>
        </w:numPr>
      </w:pPr>
      <w:r w:rsidRPr="00996CCE">
        <w:rPr>
          <w:b/>
          <w:bCs/>
        </w:rPr>
        <w:t>due diligence requirements</w:t>
      </w:r>
    </w:p>
    <w:p w14:paraId="567ED990" w14:textId="77777777" w:rsidR="00996CCE" w:rsidRPr="00996CCE" w:rsidRDefault="00996CCE" w:rsidP="00996CCE">
      <w:pPr>
        <w:numPr>
          <w:ilvl w:val="0"/>
          <w:numId w:val="3"/>
        </w:numPr>
      </w:pPr>
      <w:r w:rsidRPr="00996CCE">
        <w:rPr>
          <w:b/>
          <w:bCs/>
        </w:rPr>
        <w:t>and governance verification mechanisms</w:t>
      </w:r>
    </w:p>
    <w:p w14:paraId="5B6D5B47" w14:textId="77777777" w:rsidR="00996CCE" w:rsidRPr="00996CCE" w:rsidRDefault="00996CCE" w:rsidP="00996CCE">
      <w:r w:rsidRPr="00996CCE">
        <w:t>Recent developments across IFRS ecosystems increasingly emphasize connected, comparable and decision-useful sustainability information.</w:t>
      </w:r>
    </w:p>
    <w:p w14:paraId="0D539733" w14:textId="1130A970" w:rsidR="00996CCE" w:rsidRPr="00996CCE" w:rsidRDefault="00996CCE" w:rsidP="00996CCE">
      <w:r w:rsidRPr="00996CCE">
        <w:lastRenderedPageBreak/>
        <w:drawing>
          <wp:inline distT="0" distB="0" distL="0" distR="0" wp14:anchorId="6784A171" wp14:editId="0F642D75">
            <wp:extent cx="5274310" cy="6593205"/>
            <wp:effectExtent l="0" t="0" r="2540" b="0"/>
            <wp:docPr id="2085361146" name="圖片 4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77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59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C424A" w14:textId="77777777" w:rsidR="00996CCE" w:rsidRPr="00996CCE" w:rsidRDefault="00996CCE" w:rsidP="00996CCE">
      <w:r w:rsidRPr="00996CCE">
        <w:t>GRI discussions increasingly extend toward implementation, stakeholder coordination and operational visibility across value chains.</w:t>
      </w:r>
    </w:p>
    <w:p w14:paraId="4EE7E4A7" w14:textId="77777777" w:rsidR="00996CCE" w:rsidRPr="00996CCE" w:rsidRDefault="00996CCE" w:rsidP="00996CCE">
      <w:r w:rsidRPr="00996CCE">
        <w:t>ESRS developments increasingly highlight the growing tension between reporting simplification, interoperability and the reliability of underlying data structures.</w:t>
      </w:r>
    </w:p>
    <w:p w14:paraId="313BB75B" w14:textId="77777777" w:rsidR="00996CCE" w:rsidRPr="00996CCE" w:rsidRDefault="00996CCE" w:rsidP="00996CCE">
      <w:r w:rsidRPr="00996CCE">
        <w:t>TNFD and STBN increasingly depend on geographically connected, nature-related operational evidence.</w:t>
      </w:r>
    </w:p>
    <w:p w14:paraId="5AF5EBFC" w14:textId="77777777" w:rsidR="00996CCE" w:rsidRPr="00996CCE" w:rsidRDefault="00996CCE" w:rsidP="00996CCE">
      <w:r w:rsidRPr="00996CCE">
        <w:t xml:space="preserve">TISFD and emerging social governance ecosystems increasingly require more </w:t>
      </w:r>
      <w:r w:rsidRPr="00996CCE">
        <w:lastRenderedPageBreak/>
        <w:t>structured visibility into workforce, inequality and societal impact conditions.</w:t>
      </w:r>
    </w:p>
    <w:p w14:paraId="276AF8CB" w14:textId="77777777" w:rsidR="00996CCE" w:rsidRPr="00996CCE" w:rsidRDefault="00996CCE" w:rsidP="00996CCE">
      <w:r w:rsidRPr="00996CCE">
        <w:t>Meanwhile, assurance ecosystems, AI systems and anti-greenwashing environments increasingly require stronger substantiation and machine-readable evidence structures beneath sustainability-related claims.</w:t>
      </w:r>
    </w:p>
    <w:p w14:paraId="4DD739D8" w14:textId="77777777" w:rsidR="00996CCE" w:rsidRPr="00996CCE" w:rsidRDefault="00996CCE" w:rsidP="00996CCE">
      <w:r w:rsidRPr="00996CCE">
        <w:t>Although these ecosystems serve different institutional purposes, they increasingly appear to converge toward the same underlying requirement:</w:t>
      </w:r>
    </w:p>
    <w:p w14:paraId="54D2F2DA" w14:textId="77777777" w:rsidR="00996CCE" w:rsidRPr="00996CCE" w:rsidRDefault="00996CCE" w:rsidP="00996CCE">
      <w:r w:rsidRPr="00996CCE">
        <w:t>persistent operational evidence continuity.</w:t>
      </w:r>
    </w:p>
    <w:p w14:paraId="3BBB77CD" w14:textId="77777777" w:rsidR="00996CCE" w:rsidRPr="00996CCE" w:rsidRDefault="00996CCE" w:rsidP="00996CCE">
      <w:r w:rsidRPr="00996CCE">
        <w:t>This shift may represent an important structural transition.</w:t>
      </w:r>
    </w:p>
    <w:p w14:paraId="21EFCED0" w14:textId="77777777" w:rsidR="00996CCE" w:rsidRPr="00996CCE" w:rsidRDefault="00996CCE" w:rsidP="00996CCE">
      <w:r w:rsidRPr="00996CCE">
        <w:t>Historically, sustainability systems were often viewed primarily as reporting frameworks.</w:t>
      </w:r>
    </w:p>
    <w:p w14:paraId="07DDC527" w14:textId="77777777" w:rsidR="00996CCE" w:rsidRPr="00996CCE" w:rsidRDefault="00996CCE" w:rsidP="00996CCE">
      <w:r w:rsidRPr="00996CCE">
        <w:t>Today, they increasingly behave more like interconnected infrastructure systems.</w:t>
      </w:r>
    </w:p>
    <w:p w14:paraId="61E1167F" w14:textId="77777777" w:rsidR="00996CCE" w:rsidRPr="00996CCE" w:rsidRDefault="00996CCE" w:rsidP="00996CCE">
      <w:r w:rsidRPr="00996CCE">
        <w:t>In this environment, the next challenge may no longer be disclosure itself.</w:t>
      </w:r>
    </w:p>
    <w:p w14:paraId="13290239" w14:textId="77777777" w:rsidR="00996CCE" w:rsidRPr="00996CCE" w:rsidRDefault="00996CCE" w:rsidP="00996CCE">
      <w:r w:rsidRPr="00996CCE">
        <w:t>It may increasingly be whether sustainability evidence can remain continuously generated, traceable and structurally interoperable across fragmented operational ecosystems.</w:t>
      </w:r>
    </w:p>
    <w:p w14:paraId="2746F064" w14:textId="77777777" w:rsidR="00996CCE" w:rsidRPr="00996CCE" w:rsidRDefault="00996CCE" w:rsidP="00996CCE">
      <w:r w:rsidRPr="00996CCE">
        <w:t>This may explain why concepts such as:</w:t>
      </w:r>
    </w:p>
    <w:p w14:paraId="67810232" w14:textId="77777777" w:rsidR="00996CCE" w:rsidRPr="00996CCE" w:rsidRDefault="00996CCE" w:rsidP="00996CCE">
      <w:pPr>
        <w:numPr>
          <w:ilvl w:val="0"/>
          <w:numId w:val="4"/>
        </w:numPr>
      </w:pPr>
      <w:r w:rsidRPr="00996CCE">
        <w:rPr>
          <w:b/>
          <w:bCs/>
        </w:rPr>
        <w:t>operational traceability</w:t>
      </w:r>
    </w:p>
    <w:p w14:paraId="5B3E1825" w14:textId="77777777" w:rsidR="00996CCE" w:rsidRPr="00996CCE" w:rsidRDefault="00996CCE" w:rsidP="00996CCE">
      <w:pPr>
        <w:numPr>
          <w:ilvl w:val="0"/>
          <w:numId w:val="4"/>
        </w:numPr>
      </w:pPr>
      <w:r w:rsidRPr="00996CCE">
        <w:rPr>
          <w:b/>
          <w:bCs/>
        </w:rPr>
        <w:t>supply chain continuity</w:t>
      </w:r>
    </w:p>
    <w:p w14:paraId="7831376D" w14:textId="77777777" w:rsidR="00996CCE" w:rsidRPr="00996CCE" w:rsidRDefault="00996CCE" w:rsidP="00996CCE">
      <w:pPr>
        <w:numPr>
          <w:ilvl w:val="0"/>
          <w:numId w:val="4"/>
        </w:numPr>
      </w:pPr>
      <w:r w:rsidRPr="00996CCE">
        <w:rPr>
          <w:b/>
          <w:bCs/>
        </w:rPr>
        <w:t>machine-readable evidence</w:t>
      </w:r>
    </w:p>
    <w:p w14:paraId="132857B2" w14:textId="77777777" w:rsidR="00996CCE" w:rsidRPr="00996CCE" w:rsidRDefault="00996CCE" w:rsidP="00996CCE">
      <w:pPr>
        <w:numPr>
          <w:ilvl w:val="0"/>
          <w:numId w:val="4"/>
        </w:numPr>
      </w:pPr>
      <w:r w:rsidRPr="00996CCE">
        <w:rPr>
          <w:b/>
          <w:bCs/>
        </w:rPr>
        <w:t>governance-compatible data formation</w:t>
      </w:r>
    </w:p>
    <w:p w14:paraId="0DB90E53" w14:textId="77777777" w:rsidR="00996CCE" w:rsidRPr="00996CCE" w:rsidRDefault="00996CCE" w:rsidP="00996CCE">
      <w:pPr>
        <w:numPr>
          <w:ilvl w:val="0"/>
          <w:numId w:val="4"/>
        </w:numPr>
      </w:pPr>
      <w:r w:rsidRPr="00996CCE">
        <w:rPr>
          <w:b/>
          <w:bCs/>
        </w:rPr>
        <w:t>evidence lineage</w:t>
      </w:r>
    </w:p>
    <w:p w14:paraId="0F6744A5" w14:textId="77777777" w:rsidR="00996CCE" w:rsidRPr="00996CCE" w:rsidRDefault="00996CCE" w:rsidP="00996CCE">
      <w:pPr>
        <w:numPr>
          <w:ilvl w:val="0"/>
          <w:numId w:val="4"/>
        </w:numPr>
      </w:pPr>
      <w:r w:rsidRPr="00996CCE">
        <w:rPr>
          <w:b/>
          <w:bCs/>
        </w:rPr>
        <w:t>continuity across reporting environments</w:t>
      </w:r>
    </w:p>
    <w:p w14:paraId="07C13427" w14:textId="77777777" w:rsidR="00996CCE" w:rsidRPr="00996CCE" w:rsidRDefault="00996CCE" w:rsidP="00996CCE">
      <w:r w:rsidRPr="00996CCE">
        <w:t>are becoming increasingly central across global sustainability discussions.</w:t>
      </w:r>
    </w:p>
    <w:p w14:paraId="19FA7737" w14:textId="77777777" w:rsidR="00996CCE" w:rsidRPr="00996CCE" w:rsidRDefault="00996CCE" w:rsidP="00996CCE">
      <w:r w:rsidRPr="00996CCE">
        <w:t>The market may gradually be entering a new phase:</w:t>
      </w:r>
    </w:p>
    <w:p w14:paraId="38BC318D" w14:textId="77777777" w:rsidR="00996CCE" w:rsidRPr="00996CCE" w:rsidRDefault="00996CCE" w:rsidP="00996CCE">
      <w:r w:rsidRPr="00996CCE">
        <w:t>From reporting interoperability toward evidence continuity infrastructure.</w:t>
      </w:r>
    </w:p>
    <w:p w14:paraId="26C5CD62" w14:textId="77777777" w:rsidR="00996CCE" w:rsidRPr="00996CCE" w:rsidRDefault="00996CCE" w:rsidP="00996CCE">
      <w:r w:rsidRPr="00996CCE">
        <w:t>This does not reduce the importance of disclosure.</w:t>
      </w:r>
    </w:p>
    <w:p w14:paraId="0D64F64E" w14:textId="77777777" w:rsidR="00996CCE" w:rsidRPr="00996CCE" w:rsidRDefault="00996CCE" w:rsidP="00996CCE">
      <w:r w:rsidRPr="00996CCE">
        <w:lastRenderedPageBreak/>
        <w:t>Rather, disclosure quality itself may increasingly depend on whether trustworthy evidence can remain continuously formed beneath reporting systems.</w:t>
      </w:r>
    </w:p>
    <w:p w14:paraId="7549CFAC" w14:textId="77777777" w:rsidR="00996CCE" w:rsidRPr="00996CCE" w:rsidRDefault="00996CCE" w:rsidP="00996CCE">
      <w:r w:rsidRPr="00996CCE">
        <w:t>Recent ecosystem developments may therefore reflect something broader than reporting evolution alone:</w:t>
      </w:r>
    </w:p>
    <w:p w14:paraId="2BB0E250" w14:textId="77777777" w:rsidR="00996CCE" w:rsidRPr="00996CCE" w:rsidRDefault="00996CCE" w:rsidP="00996CCE">
      <w:r w:rsidRPr="00996CCE">
        <w:t>the gradual emergence of globally interconnected evidence infrastructure systems.</w:t>
      </w:r>
    </w:p>
    <w:p w14:paraId="3BE6CF09" w14:textId="77777777" w:rsidR="00996CCE" w:rsidRPr="00996CCE" w:rsidRDefault="00996CCE" w:rsidP="00996CCE">
      <w:pPr>
        <w:rPr>
          <w:b/>
          <w:bCs/>
        </w:rPr>
      </w:pPr>
      <w:r w:rsidRPr="00996CCE">
        <w:rPr>
          <w:b/>
          <w:bCs/>
        </w:rPr>
        <w:t>Evidence Infrastructure Signal</w:t>
      </w:r>
    </w:p>
    <w:p w14:paraId="20A15A0C" w14:textId="77777777" w:rsidR="00996CCE" w:rsidRPr="00996CCE" w:rsidRDefault="00996CCE" w:rsidP="00996CCE">
      <w:r w:rsidRPr="00996CCE">
        <w:t>Evidence Infrastructure Signal is an ongoing publication series observing structural shifts across interoperability, traceability and sustainability data ecosystems.</w:t>
      </w:r>
    </w:p>
    <w:p w14:paraId="690846AA" w14:textId="77777777" w:rsidR="00996CCE" w:rsidRPr="00996CCE" w:rsidRDefault="00996CCE" w:rsidP="00996CCE">
      <w:r w:rsidRPr="00996CCE">
        <w:t>Illustrative ecosystem observations only.</w:t>
      </w:r>
    </w:p>
    <w:p w14:paraId="41D1511E" w14:textId="77777777" w:rsidR="00F10D07" w:rsidRDefault="00F10D07"/>
    <w:sectPr w:rsidR="00F10D0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2788A"/>
    <w:multiLevelType w:val="multilevel"/>
    <w:tmpl w:val="375C2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8908B3"/>
    <w:multiLevelType w:val="multilevel"/>
    <w:tmpl w:val="E2465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546D85"/>
    <w:multiLevelType w:val="multilevel"/>
    <w:tmpl w:val="A5BC8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B46C48"/>
    <w:multiLevelType w:val="multilevel"/>
    <w:tmpl w:val="CB028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5223155">
    <w:abstractNumId w:val="3"/>
  </w:num>
  <w:num w:numId="2" w16cid:durableId="2134907552">
    <w:abstractNumId w:val="0"/>
  </w:num>
  <w:num w:numId="3" w16cid:durableId="787285409">
    <w:abstractNumId w:val="2"/>
  </w:num>
  <w:num w:numId="4" w16cid:durableId="10866095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A5A"/>
    <w:rsid w:val="00212A5A"/>
    <w:rsid w:val="007E240A"/>
    <w:rsid w:val="00955CCD"/>
    <w:rsid w:val="00996CCE"/>
    <w:rsid w:val="00B159C3"/>
    <w:rsid w:val="00F1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BD89C"/>
  <w15:chartTrackingRefBased/>
  <w15:docId w15:val="{7796CE24-48BD-49C3-8F79-7E4996524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12A5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2A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2A5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2A5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2A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2A5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2A5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2A5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2A5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12A5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12A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12A5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12A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12A5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12A5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12A5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12A5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12A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2A5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12A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2A5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12A5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12A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12A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12A5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12A5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12A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12A5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12A5A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996CCE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996C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640</Words>
  <Characters>3651</Characters>
  <Application>Microsoft Office Word</Application>
  <DocSecurity>0</DocSecurity>
  <Lines>30</Lines>
  <Paragraphs>8</Paragraphs>
  <ScaleCrop>false</ScaleCrop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Anderson</dc:creator>
  <cp:keywords/>
  <dc:description/>
  <cp:lastModifiedBy>Yu Anderson</cp:lastModifiedBy>
  <cp:revision>2</cp:revision>
  <dcterms:created xsi:type="dcterms:W3CDTF">2026-08-16T09:29:00Z</dcterms:created>
  <dcterms:modified xsi:type="dcterms:W3CDTF">2026-08-16T09:29:00Z</dcterms:modified>
</cp:coreProperties>
</file>