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D9FE7" w14:textId="77777777" w:rsidR="00D27074" w:rsidRDefault="00D27074" w:rsidP="00D27074">
      <w:pPr>
        <w:rPr>
          <w:b/>
          <w:bCs/>
        </w:rPr>
      </w:pPr>
      <w:r w:rsidRPr="00D27074">
        <w:rPr>
          <w:b/>
          <w:bCs/>
        </w:rPr>
        <w:t xml:space="preserve">Evidence Infrastructure Signal · 002 </w:t>
      </w:r>
    </w:p>
    <w:p w14:paraId="62699643" w14:textId="18A37BB5" w:rsidR="00D27074" w:rsidRPr="00D27074" w:rsidRDefault="00D27074" w:rsidP="00D27074">
      <w:pPr>
        <w:rPr>
          <w:b/>
          <w:bCs/>
        </w:rPr>
      </w:pPr>
      <w:r w:rsidRPr="00D27074">
        <w:rPr>
          <w:b/>
          <w:bCs/>
        </w:rPr>
        <w:t>Why Interoperability Also Requires Boundaries</w:t>
      </w:r>
    </w:p>
    <w:p w14:paraId="3AE55BFF" w14:textId="77777777" w:rsidR="00D27074" w:rsidRPr="00D27074" w:rsidRDefault="00D27074" w:rsidP="00D27074">
      <w:r w:rsidRPr="00D27074">
        <w:t>May 17, 2026</w:t>
      </w:r>
    </w:p>
    <w:p w14:paraId="0C0708DA" w14:textId="77777777" w:rsidR="00D27074" w:rsidRPr="00D27074" w:rsidRDefault="00D27074" w:rsidP="00D27074">
      <w:pPr>
        <w:rPr>
          <w:b/>
          <w:bCs/>
        </w:rPr>
      </w:pPr>
      <w:r w:rsidRPr="00D27074">
        <w:rPr>
          <w:b/>
          <w:bCs/>
        </w:rPr>
        <w:t>Observations on governance separation, evidence integrity and sustainability infrastructure systems.</w:t>
      </w:r>
    </w:p>
    <w:p w14:paraId="04EB440D" w14:textId="77777777" w:rsidR="00D27074" w:rsidRPr="00D27074" w:rsidRDefault="00D27074" w:rsidP="00D27074">
      <w:r w:rsidRPr="00D27074">
        <w:t>What initially appeared to be separate conversations around sustainability reporting, assurance systems, AI-enabled analysis, digital disclosures and operational data environments may increasingly be converging toward another structural challenge:</w:t>
      </w:r>
    </w:p>
    <w:p w14:paraId="509E6AAF" w14:textId="77777777" w:rsidR="00D27074" w:rsidRPr="00D27074" w:rsidRDefault="00D27074" w:rsidP="00D27074">
      <w:r w:rsidRPr="00D27074">
        <w:t>how can governance boundaries remain clear across increasingly interconnected sustainability ecosystems?</w:t>
      </w:r>
    </w:p>
    <w:p w14:paraId="686F8BBF" w14:textId="77777777" w:rsidR="00D27074" w:rsidRPr="00D27074" w:rsidRDefault="00D27074" w:rsidP="00D27074">
      <w:r w:rsidRPr="00D27074">
        <w:t>As IFRS/ISSB, ESRS, GRI, COSO assurance providers, enterprise software systems and AI-enabled sustainability workflows continue evolving simultaneously, interoperability is becoming increasingly important across disclosure and operational environments.</w:t>
      </w:r>
    </w:p>
    <w:p w14:paraId="1A5105DE" w14:textId="77777777" w:rsidR="00D27074" w:rsidRPr="00D27074" w:rsidRDefault="00D27074" w:rsidP="00D27074">
      <w:r w:rsidRPr="00D27074">
        <w:t>However, greater connectivity may also introduce new forms of structural ambiguity.</w:t>
      </w:r>
    </w:p>
    <w:p w14:paraId="315AC335" w14:textId="77777777" w:rsidR="00D27074" w:rsidRPr="00D27074" w:rsidRDefault="00D27074" w:rsidP="00D27074">
      <w:r w:rsidRPr="00D27074">
        <w:t>This appears to be shifting the conversation beyond interoperability alone.</w:t>
      </w:r>
    </w:p>
    <w:p w14:paraId="01FF8C85" w14:textId="77777777" w:rsidR="00D27074" w:rsidRPr="00D27074" w:rsidRDefault="00D27074" w:rsidP="00D27074">
      <w:r w:rsidRPr="00D27074">
        <w:t>The emerging challenge is increasingly about:</w:t>
      </w:r>
    </w:p>
    <w:p w14:paraId="43BE69A3" w14:textId="77777777" w:rsidR="00D27074" w:rsidRPr="00D27074" w:rsidRDefault="00D27074" w:rsidP="00D27074">
      <w:pPr>
        <w:numPr>
          <w:ilvl w:val="0"/>
          <w:numId w:val="1"/>
        </w:numPr>
      </w:pPr>
      <w:r w:rsidRPr="00D27074">
        <w:rPr>
          <w:b/>
          <w:bCs/>
        </w:rPr>
        <w:t xml:space="preserve">governance separation </w:t>
      </w:r>
    </w:p>
    <w:p w14:paraId="7AE76935" w14:textId="77777777" w:rsidR="00D27074" w:rsidRPr="00D27074" w:rsidRDefault="00D27074" w:rsidP="00D27074">
      <w:pPr>
        <w:numPr>
          <w:ilvl w:val="0"/>
          <w:numId w:val="1"/>
        </w:numPr>
      </w:pPr>
      <w:r w:rsidRPr="00D27074">
        <w:rPr>
          <w:b/>
          <w:bCs/>
        </w:rPr>
        <w:t xml:space="preserve">evidence responsibilities </w:t>
      </w:r>
    </w:p>
    <w:p w14:paraId="1ABC02AE" w14:textId="77777777" w:rsidR="00D27074" w:rsidRPr="00D27074" w:rsidRDefault="00D27074" w:rsidP="00D27074">
      <w:pPr>
        <w:numPr>
          <w:ilvl w:val="0"/>
          <w:numId w:val="1"/>
        </w:numPr>
      </w:pPr>
      <w:r w:rsidRPr="00D27074">
        <w:rPr>
          <w:b/>
          <w:bCs/>
        </w:rPr>
        <w:t xml:space="preserve">institutional boundaries </w:t>
      </w:r>
    </w:p>
    <w:p w14:paraId="39BF7A65" w14:textId="77777777" w:rsidR="00D27074" w:rsidRPr="00D27074" w:rsidRDefault="00D27074" w:rsidP="00D27074">
      <w:pPr>
        <w:numPr>
          <w:ilvl w:val="0"/>
          <w:numId w:val="1"/>
        </w:numPr>
      </w:pPr>
      <w:r w:rsidRPr="00D27074">
        <w:rPr>
          <w:b/>
          <w:bCs/>
        </w:rPr>
        <w:t xml:space="preserve">role clarity </w:t>
      </w:r>
    </w:p>
    <w:p w14:paraId="01C73C7A" w14:textId="77777777" w:rsidR="00D27074" w:rsidRPr="00D27074" w:rsidRDefault="00D27074" w:rsidP="00D27074">
      <w:pPr>
        <w:numPr>
          <w:ilvl w:val="0"/>
          <w:numId w:val="1"/>
        </w:numPr>
      </w:pPr>
      <w:r w:rsidRPr="00D27074">
        <w:rPr>
          <w:b/>
          <w:bCs/>
        </w:rPr>
        <w:t>operational integrity</w:t>
      </w:r>
    </w:p>
    <w:p w14:paraId="5367C83F" w14:textId="3895C993" w:rsidR="00D27074" w:rsidRPr="00D27074" w:rsidRDefault="00D27074" w:rsidP="00D27074">
      <w:r w:rsidRPr="00D27074">
        <w:lastRenderedPageBreak/>
        <w:drawing>
          <wp:inline distT="0" distB="0" distL="0" distR="0" wp14:anchorId="59F2ECFA" wp14:editId="3DE94200">
            <wp:extent cx="5274310" cy="6593205"/>
            <wp:effectExtent l="0" t="0" r="2540" b="0"/>
            <wp:docPr id="477067179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71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9EE02" w14:textId="77777777" w:rsidR="00D27074" w:rsidRPr="00D27074" w:rsidRDefault="00D27074" w:rsidP="00D27074">
      <w:r w:rsidRPr="00D27074">
        <w:t>In many cases, the same sustainability-related evidence may ultimately flow across:</w:t>
      </w:r>
    </w:p>
    <w:p w14:paraId="13AC9A65" w14:textId="77777777" w:rsidR="00D27074" w:rsidRPr="00D27074" w:rsidRDefault="00D27074" w:rsidP="00D27074">
      <w:pPr>
        <w:numPr>
          <w:ilvl w:val="0"/>
          <w:numId w:val="2"/>
        </w:numPr>
      </w:pPr>
      <w:r w:rsidRPr="00D27074">
        <w:rPr>
          <w:b/>
          <w:bCs/>
        </w:rPr>
        <w:t xml:space="preserve">reporting systems </w:t>
      </w:r>
    </w:p>
    <w:p w14:paraId="5FABDC19" w14:textId="77777777" w:rsidR="00D27074" w:rsidRPr="00D27074" w:rsidRDefault="00D27074" w:rsidP="00D27074">
      <w:pPr>
        <w:numPr>
          <w:ilvl w:val="0"/>
          <w:numId w:val="2"/>
        </w:numPr>
      </w:pPr>
      <w:r w:rsidRPr="00D27074">
        <w:rPr>
          <w:b/>
          <w:bCs/>
        </w:rPr>
        <w:t xml:space="preserve">assurance workflows </w:t>
      </w:r>
    </w:p>
    <w:p w14:paraId="5F2788E4" w14:textId="77777777" w:rsidR="00D27074" w:rsidRPr="00D27074" w:rsidRDefault="00D27074" w:rsidP="00D27074">
      <w:pPr>
        <w:numPr>
          <w:ilvl w:val="0"/>
          <w:numId w:val="2"/>
        </w:numPr>
      </w:pPr>
      <w:r w:rsidRPr="00D27074">
        <w:rPr>
          <w:b/>
          <w:bCs/>
        </w:rPr>
        <w:t xml:space="preserve">AI-enabled analysis </w:t>
      </w:r>
    </w:p>
    <w:p w14:paraId="0ABB7C8E" w14:textId="77777777" w:rsidR="00D27074" w:rsidRPr="00D27074" w:rsidRDefault="00D27074" w:rsidP="00D27074">
      <w:pPr>
        <w:numPr>
          <w:ilvl w:val="0"/>
          <w:numId w:val="2"/>
        </w:numPr>
      </w:pPr>
      <w:r w:rsidRPr="00D27074">
        <w:rPr>
          <w:b/>
          <w:bCs/>
        </w:rPr>
        <w:t xml:space="preserve">supply chain disclosures </w:t>
      </w:r>
    </w:p>
    <w:p w14:paraId="55A61260" w14:textId="77777777" w:rsidR="00D27074" w:rsidRPr="00D27074" w:rsidRDefault="00D27074" w:rsidP="00D27074">
      <w:pPr>
        <w:numPr>
          <w:ilvl w:val="0"/>
          <w:numId w:val="2"/>
        </w:numPr>
      </w:pPr>
      <w:r w:rsidRPr="00D27074">
        <w:rPr>
          <w:b/>
          <w:bCs/>
        </w:rPr>
        <w:lastRenderedPageBreak/>
        <w:t xml:space="preserve">taxonomy-linked environments </w:t>
      </w:r>
    </w:p>
    <w:p w14:paraId="5F1BCEF4" w14:textId="77777777" w:rsidR="00D27074" w:rsidRPr="00D27074" w:rsidRDefault="00D27074" w:rsidP="00D27074">
      <w:pPr>
        <w:numPr>
          <w:ilvl w:val="0"/>
          <w:numId w:val="2"/>
        </w:numPr>
      </w:pPr>
      <w:r w:rsidRPr="00D27074">
        <w:rPr>
          <w:b/>
          <w:bCs/>
        </w:rPr>
        <w:t>regulatory reporting ecosystems</w:t>
      </w:r>
    </w:p>
    <w:p w14:paraId="48DF5DED" w14:textId="77777777" w:rsidR="00D27074" w:rsidRPr="00D27074" w:rsidRDefault="00D27074" w:rsidP="00D27074">
      <w:r w:rsidRPr="00D27074">
        <w:t>As these systems become increasingly interconnected, organizations may face growing pressure to maintain not only interoperability, but also clear separation between institutional responsibilities and evidence functions.</w:t>
      </w:r>
    </w:p>
    <w:p w14:paraId="3C232D88" w14:textId="497D3E59" w:rsidR="00D27074" w:rsidRPr="00D27074" w:rsidRDefault="00D27074" w:rsidP="00D27074">
      <w:r w:rsidRPr="00D27074">
        <w:drawing>
          <wp:inline distT="0" distB="0" distL="0" distR="0" wp14:anchorId="577A2589" wp14:editId="36648634">
            <wp:extent cx="5274310" cy="6593205"/>
            <wp:effectExtent l="0" t="0" r="2540" b="0"/>
            <wp:docPr id="1728729042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75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68B7B" w14:textId="77777777" w:rsidR="00D27074" w:rsidRPr="00D27074" w:rsidRDefault="00D27074" w:rsidP="00D27074">
      <w:r w:rsidRPr="00D27074">
        <w:t>Without structured boundaries, highly connected ecosystems may gradually introduce:</w:t>
      </w:r>
    </w:p>
    <w:p w14:paraId="2671B5B1" w14:textId="77777777" w:rsidR="00D27074" w:rsidRPr="00D27074" w:rsidRDefault="00D27074" w:rsidP="00D27074">
      <w:pPr>
        <w:numPr>
          <w:ilvl w:val="0"/>
          <w:numId w:val="3"/>
        </w:numPr>
      </w:pPr>
      <w:r w:rsidRPr="00D27074">
        <w:rPr>
          <w:b/>
          <w:bCs/>
        </w:rPr>
        <w:lastRenderedPageBreak/>
        <w:t xml:space="preserve">overlapping authority </w:t>
      </w:r>
    </w:p>
    <w:p w14:paraId="73541021" w14:textId="77777777" w:rsidR="00D27074" w:rsidRPr="00D27074" w:rsidRDefault="00D27074" w:rsidP="00D27074">
      <w:pPr>
        <w:numPr>
          <w:ilvl w:val="0"/>
          <w:numId w:val="3"/>
        </w:numPr>
      </w:pPr>
      <w:r w:rsidRPr="00D27074">
        <w:rPr>
          <w:b/>
          <w:bCs/>
        </w:rPr>
        <w:t xml:space="preserve">interpretive conflicts </w:t>
      </w:r>
    </w:p>
    <w:p w14:paraId="7AFBB11B" w14:textId="77777777" w:rsidR="00D27074" w:rsidRPr="00D27074" w:rsidRDefault="00D27074" w:rsidP="00D27074">
      <w:pPr>
        <w:numPr>
          <w:ilvl w:val="0"/>
          <w:numId w:val="3"/>
        </w:numPr>
      </w:pPr>
      <w:r w:rsidRPr="00D27074">
        <w:rPr>
          <w:b/>
          <w:bCs/>
        </w:rPr>
        <w:t xml:space="preserve">evidence inconsistency </w:t>
      </w:r>
    </w:p>
    <w:p w14:paraId="24C64109" w14:textId="77777777" w:rsidR="00D27074" w:rsidRPr="00D27074" w:rsidRDefault="00D27074" w:rsidP="00D27074">
      <w:pPr>
        <w:numPr>
          <w:ilvl w:val="0"/>
          <w:numId w:val="3"/>
        </w:numPr>
      </w:pPr>
      <w:r w:rsidRPr="00D27074">
        <w:rPr>
          <w:b/>
          <w:bCs/>
        </w:rPr>
        <w:t xml:space="preserve">trust fragmentation </w:t>
      </w:r>
    </w:p>
    <w:p w14:paraId="64B9C338" w14:textId="77777777" w:rsidR="00D27074" w:rsidRPr="00D27074" w:rsidRDefault="00D27074" w:rsidP="00D27074">
      <w:pPr>
        <w:numPr>
          <w:ilvl w:val="0"/>
          <w:numId w:val="3"/>
        </w:numPr>
      </w:pPr>
      <w:r w:rsidRPr="00D27074">
        <w:rPr>
          <w:b/>
          <w:bCs/>
        </w:rPr>
        <w:t>systemic ambiguity</w:t>
      </w:r>
    </w:p>
    <w:p w14:paraId="45832A16" w14:textId="77777777" w:rsidR="00D27074" w:rsidRPr="00D27074" w:rsidRDefault="00D27074" w:rsidP="00D27074">
      <w:r w:rsidRPr="00D27074">
        <w:t>As a result, interoperability itself may increasingly depend on governance architecture beneath the reporting layer.</w:t>
      </w:r>
    </w:p>
    <w:p w14:paraId="53F279AA" w14:textId="77777777" w:rsidR="00D27074" w:rsidRPr="00D27074" w:rsidRDefault="00D27074" w:rsidP="00D27074">
      <w:r w:rsidRPr="00D27074">
        <w:t>The question may no longer be only:</w:t>
      </w:r>
    </w:p>
    <w:p w14:paraId="18324946" w14:textId="77777777" w:rsidR="00D27074" w:rsidRPr="00D27074" w:rsidRDefault="00D27074" w:rsidP="00D27074">
      <w:r w:rsidRPr="00D27074">
        <w:t>“How can sustainability systems become interoperable?”</w:t>
      </w:r>
    </w:p>
    <w:p w14:paraId="5C31C617" w14:textId="77777777" w:rsidR="00D27074" w:rsidRPr="00D27074" w:rsidRDefault="00D27074" w:rsidP="00D27074">
      <w:r w:rsidRPr="00D27074">
        <w:t>But increasingly:</w:t>
      </w:r>
    </w:p>
    <w:p w14:paraId="7C893B04" w14:textId="77777777" w:rsidR="00D27074" w:rsidRPr="00D27074" w:rsidRDefault="00D27074" w:rsidP="00D27074">
      <w:r w:rsidRPr="00D27074">
        <w:t>“How can interoperability remain trustworthy without clear governance boundaries?”</w:t>
      </w:r>
    </w:p>
    <w:p w14:paraId="37AA006A" w14:textId="77777777" w:rsidR="00D27074" w:rsidRPr="00D27074" w:rsidRDefault="00D27074" w:rsidP="00D27074">
      <w:r w:rsidRPr="00D27074">
        <w:pict w14:anchorId="03FED622">
          <v:rect id="_x0000_i1049" style="width:486pt;height:.75pt" o:hrpct="0" o:hralign="center" o:hrstd="t" o:hr="t" fillcolor="#a0a0a0" stroked="f"/>
        </w:pict>
      </w:r>
    </w:p>
    <w:p w14:paraId="0FDEB502" w14:textId="77777777" w:rsidR="00D27074" w:rsidRPr="00D27074" w:rsidRDefault="00D27074" w:rsidP="00D27074">
      <w:pPr>
        <w:rPr>
          <w:b/>
          <w:bCs/>
        </w:rPr>
      </w:pPr>
      <w:r w:rsidRPr="00D27074">
        <w:rPr>
          <w:b/>
          <w:bCs/>
        </w:rPr>
        <w:t>Evidence Infrastructure Signal</w:t>
      </w:r>
    </w:p>
    <w:p w14:paraId="6DD2C0AD" w14:textId="77777777" w:rsidR="00D27074" w:rsidRPr="00D27074" w:rsidRDefault="00D27074" w:rsidP="00D27074">
      <w:r w:rsidRPr="00D27074">
        <w:t>Evidence Infrastructure Signal is an ongoing publication series observing structural shifts across interoperability, traceability and sustainability data ecosystems.</w:t>
      </w:r>
    </w:p>
    <w:p w14:paraId="49369A78" w14:textId="77777777" w:rsidR="00D27074" w:rsidRPr="00D27074" w:rsidRDefault="00D27074" w:rsidP="00D27074">
      <w:r w:rsidRPr="00D27074">
        <w:t>Illustrative ecosystem observations only.</w:t>
      </w:r>
    </w:p>
    <w:p w14:paraId="062B2CBA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6319D"/>
    <w:multiLevelType w:val="multilevel"/>
    <w:tmpl w:val="2210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8376D"/>
    <w:multiLevelType w:val="multilevel"/>
    <w:tmpl w:val="3A1C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F42094"/>
    <w:multiLevelType w:val="multilevel"/>
    <w:tmpl w:val="E9BC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8638477">
    <w:abstractNumId w:val="1"/>
  </w:num>
  <w:num w:numId="2" w16cid:durableId="1522432214">
    <w:abstractNumId w:val="0"/>
  </w:num>
  <w:num w:numId="3" w16cid:durableId="966400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A2D"/>
    <w:rsid w:val="005F0A2D"/>
    <w:rsid w:val="007E240A"/>
    <w:rsid w:val="00A40E38"/>
    <w:rsid w:val="00B159C3"/>
    <w:rsid w:val="00D27074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DF8EE"/>
  <w15:chartTrackingRefBased/>
  <w15:docId w15:val="{F7A6CB65-3F01-4E54-A812-F7A8B2A5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0A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A2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A2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0A2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0A2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0A2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0A2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0A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0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0A2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0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0A2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0A2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0A2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0A2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0A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0A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0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0A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0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0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0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0A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0A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0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0A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0A2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27074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27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2026-08-16T09:30:00Z</dcterms:created>
  <dcterms:modified xsi:type="dcterms:W3CDTF">2026-08-16T09:30:00Z</dcterms:modified>
</cp:coreProperties>
</file>