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031FC" w14:textId="77777777" w:rsidR="00224BB4" w:rsidRDefault="00224BB4" w:rsidP="00224BB4">
      <w:pPr>
        <w:rPr>
          <w:b/>
          <w:bCs/>
        </w:rPr>
      </w:pPr>
      <w:r w:rsidRPr="00224BB4">
        <w:rPr>
          <w:b/>
          <w:bCs/>
        </w:rPr>
        <w:t xml:space="preserve">Evidence Infrastructure Signal · 001 </w:t>
      </w:r>
    </w:p>
    <w:p w14:paraId="5550FE60" w14:textId="3040036D" w:rsidR="00224BB4" w:rsidRPr="00224BB4" w:rsidRDefault="00224BB4" w:rsidP="00224BB4">
      <w:pPr>
        <w:rPr>
          <w:b/>
          <w:bCs/>
        </w:rPr>
      </w:pPr>
      <w:r w:rsidRPr="00224BB4">
        <w:rPr>
          <w:b/>
          <w:bCs/>
        </w:rPr>
        <w:t>Why Interoperability Is Becoming an Infrastructure Problem</w:t>
      </w:r>
    </w:p>
    <w:p w14:paraId="725A63BA" w14:textId="77777777" w:rsidR="00224BB4" w:rsidRPr="00224BB4" w:rsidRDefault="00224BB4" w:rsidP="00224BB4">
      <w:r w:rsidRPr="00224BB4">
        <w:t>May 10, 2026</w:t>
      </w:r>
    </w:p>
    <w:p w14:paraId="10B0D4E7" w14:textId="77777777" w:rsidR="00224BB4" w:rsidRPr="00224BB4" w:rsidRDefault="00224BB4" w:rsidP="00224BB4">
      <w:r w:rsidRPr="00224BB4">
        <w:t>Across multiple sustainability ecosystems, a similar structural shift is beginning to emerge.</w:t>
      </w:r>
    </w:p>
    <w:p w14:paraId="6AE45EFB" w14:textId="77777777" w:rsidR="00224BB4" w:rsidRPr="00224BB4" w:rsidRDefault="00224BB4" w:rsidP="00224BB4">
      <w:r w:rsidRPr="00224BB4">
        <w:t>What initially appeared to be separate conversations around sustainability reporting, taxonomy systems, digital disclosures and assurance readiness are increasingly converging toward a deeper infrastructure challenge:</w:t>
      </w:r>
    </w:p>
    <w:p w14:paraId="561CC4CF" w14:textId="77777777" w:rsidR="00224BB4" w:rsidRPr="00224BB4" w:rsidRDefault="00224BB4" w:rsidP="00224BB4">
      <w:r w:rsidRPr="00224BB4">
        <w:t>how can sustainability-related evidence remain interoperable across increasingly connected ecosystems?</w:t>
      </w:r>
    </w:p>
    <w:p w14:paraId="28B71C55" w14:textId="6F806EA1" w:rsidR="00224BB4" w:rsidRPr="00224BB4" w:rsidRDefault="00224BB4" w:rsidP="00224BB4">
      <w:r w:rsidRPr="00224BB4">
        <w:lastRenderedPageBreak/>
        <w:drawing>
          <wp:inline distT="0" distB="0" distL="0" distR="0" wp14:anchorId="3C933FBC" wp14:editId="3B84C4D8">
            <wp:extent cx="5274310" cy="6593205"/>
            <wp:effectExtent l="0" t="0" r="2540" b="0"/>
            <wp:docPr id="1362790712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6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6A845" w14:textId="77777777" w:rsidR="00224BB4" w:rsidRPr="00224BB4" w:rsidRDefault="00224BB4" w:rsidP="00224BB4">
      <w:r w:rsidRPr="00224BB4">
        <w:t>As IFRS/ISSB, ESRS, GRI and supply-chain reporting environments continue evolving simultaneously, organizations are facing growing pressure to maintain consistency across multiple disclosure systems without reconstructing operational evidence separately for each framework.</w:t>
      </w:r>
    </w:p>
    <w:p w14:paraId="47322C2B" w14:textId="77777777" w:rsidR="00224BB4" w:rsidRPr="00224BB4" w:rsidRDefault="00224BB4" w:rsidP="00224BB4">
      <w:r w:rsidRPr="00224BB4">
        <w:t>This appears to be shifting the conversation beyond reporting outputs alone.</w:t>
      </w:r>
    </w:p>
    <w:p w14:paraId="6AD543F0" w14:textId="77777777" w:rsidR="00224BB4" w:rsidRPr="00224BB4" w:rsidRDefault="00224BB4" w:rsidP="00224BB4">
      <w:r w:rsidRPr="00224BB4">
        <w:t>The emerging challenge is increasingly about:</w:t>
      </w:r>
    </w:p>
    <w:p w14:paraId="129C319F" w14:textId="77777777" w:rsidR="00224BB4" w:rsidRPr="00224BB4" w:rsidRDefault="00224BB4" w:rsidP="00224BB4">
      <w:pPr>
        <w:numPr>
          <w:ilvl w:val="0"/>
          <w:numId w:val="1"/>
        </w:numPr>
      </w:pPr>
      <w:r w:rsidRPr="00224BB4">
        <w:t>traceability</w:t>
      </w:r>
    </w:p>
    <w:p w14:paraId="0D2855BD" w14:textId="77777777" w:rsidR="00224BB4" w:rsidRPr="00224BB4" w:rsidRDefault="00224BB4" w:rsidP="00224BB4">
      <w:pPr>
        <w:numPr>
          <w:ilvl w:val="0"/>
          <w:numId w:val="1"/>
        </w:numPr>
      </w:pPr>
      <w:r w:rsidRPr="00224BB4">
        <w:lastRenderedPageBreak/>
        <w:t>evidence lineage</w:t>
      </w:r>
    </w:p>
    <w:p w14:paraId="5F6DF73E" w14:textId="77777777" w:rsidR="00224BB4" w:rsidRPr="00224BB4" w:rsidRDefault="00224BB4" w:rsidP="00224BB4">
      <w:pPr>
        <w:numPr>
          <w:ilvl w:val="0"/>
          <w:numId w:val="1"/>
        </w:numPr>
      </w:pPr>
      <w:r w:rsidRPr="00224BB4">
        <w:t>machine-readable structures</w:t>
      </w:r>
    </w:p>
    <w:p w14:paraId="18B2FF96" w14:textId="77777777" w:rsidR="00224BB4" w:rsidRPr="00224BB4" w:rsidRDefault="00224BB4" w:rsidP="00224BB4">
      <w:pPr>
        <w:numPr>
          <w:ilvl w:val="0"/>
          <w:numId w:val="1"/>
        </w:numPr>
      </w:pPr>
      <w:r w:rsidRPr="00224BB4">
        <w:t>interoperability</w:t>
      </w:r>
    </w:p>
    <w:p w14:paraId="2603CCD9" w14:textId="77777777" w:rsidR="00224BB4" w:rsidRPr="00224BB4" w:rsidRDefault="00224BB4" w:rsidP="00224BB4">
      <w:pPr>
        <w:numPr>
          <w:ilvl w:val="0"/>
          <w:numId w:val="1"/>
        </w:numPr>
      </w:pPr>
      <w:r w:rsidRPr="00224BB4">
        <w:t>operational consistency</w:t>
      </w:r>
    </w:p>
    <w:p w14:paraId="7AD672E0" w14:textId="7A5AC766" w:rsidR="00224BB4" w:rsidRPr="00224BB4" w:rsidRDefault="00224BB4" w:rsidP="00224BB4">
      <w:r w:rsidRPr="00224BB4">
        <w:drawing>
          <wp:inline distT="0" distB="0" distL="0" distR="0" wp14:anchorId="7800D74D" wp14:editId="6680E840">
            <wp:extent cx="5274310" cy="6593205"/>
            <wp:effectExtent l="0" t="0" r="2540" b="0"/>
            <wp:docPr id="597331482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71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1F79C" w14:textId="77777777" w:rsidR="00224BB4" w:rsidRPr="00224BB4" w:rsidRDefault="00224BB4" w:rsidP="00224BB4"/>
    <w:p w14:paraId="3684D571" w14:textId="77777777" w:rsidR="00224BB4" w:rsidRPr="00224BB4" w:rsidRDefault="00224BB4" w:rsidP="00224BB4">
      <w:r w:rsidRPr="00224BB4">
        <w:t>In many cases, the same operational activity may ultimately contribute to:</w:t>
      </w:r>
    </w:p>
    <w:p w14:paraId="20FD2B9E" w14:textId="77777777" w:rsidR="00224BB4" w:rsidRPr="00224BB4" w:rsidRDefault="00224BB4" w:rsidP="00224BB4">
      <w:pPr>
        <w:numPr>
          <w:ilvl w:val="0"/>
          <w:numId w:val="2"/>
        </w:numPr>
      </w:pPr>
      <w:r w:rsidRPr="00224BB4">
        <w:lastRenderedPageBreak/>
        <w:t>sustainability disclosures</w:t>
      </w:r>
    </w:p>
    <w:p w14:paraId="2B7EFE87" w14:textId="77777777" w:rsidR="00224BB4" w:rsidRPr="00224BB4" w:rsidRDefault="00224BB4" w:rsidP="00224BB4">
      <w:pPr>
        <w:numPr>
          <w:ilvl w:val="0"/>
          <w:numId w:val="2"/>
        </w:numPr>
      </w:pPr>
      <w:r w:rsidRPr="00224BB4">
        <w:t>supply chain reporting</w:t>
      </w:r>
    </w:p>
    <w:p w14:paraId="41F74860" w14:textId="77777777" w:rsidR="00224BB4" w:rsidRPr="00224BB4" w:rsidRDefault="00224BB4" w:rsidP="00224BB4">
      <w:pPr>
        <w:numPr>
          <w:ilvl w:val="0"/>
          <w:numId w:val="2"/>
        </w:numPr>
      </w:pPr>
      <w:r w:rsidRPr="00224BB4">
        <w:t>assurance workflows</w:t>
      </w:r>
    </w:p>
    <w:p w14:paraId="46A061B8" w14:textId="77777777" w:rsidR="00224BB4" w:rsidRPr="00224BB4" w:rsidRDefault="00224BB4" w:rsidP="00224BB4">
      <w:pPr>
        <w:numPr>
          <w:ilvl w:val="0"/>
          <w:numId w:val="2"/>
        </w:numPr>
      </w:pPr>
      <w:r w:rsidRPr="00224BB4">
        <w:t>taxonomy-linked systems</w:t>
      </w:r>
    </w:p>
    <w:p w14:paraId="11D19754" w14:textId="77777777" w:rsidR="00224BB4" w:rsidRPr="00224BB4" w:rsidRDefault="00224BB4" w:rsidP="00224BB4">
      <w:pPr>
        <w:numPr>
          <w:ilvl w:val="0"/>
          <w:numId w:val="2"/>
        </w:numPr>
      </w:pPr>
      <w:r w:rsidRPr="00224BB4">
        <w:t>product-level environmental reporting</w:t>
      </w:r>
    </w:p>
    <w:p w14:paraId="30A72FEF" w14:textId="77777777" w:rsidR="00224BB4" w:rsidRPr="00224BB4" w:rsidRDefault="00224BB4" w:rsidP="00224BB4">
      <w:r w:rsidRPr="00224BB4">
        <w:t>As these ecosystems become more connected, interoperability may gradually evolve from a reporting feature into an infrastructure requirement.</w:t>
      </w:r>
    </w:p>
    <w:p w14:paraId="18E6A311" w14:textId="77777777" w:rsidR="00224BB4" w:rsidRPr="00224BB4" w:rsidRDefault="00224BB4" w:rsidP="00224BB4">
      <w:r w:rsidRPr="00224BB4">
        <w:t>The question may no longer be only:</w:t>
      </w:r>
    </w:p>
    <w:p w14:paraId="630A8257" w14:textId="77777777" w:rsidR="00224BB4" w:rsidRPr="00224BB4" w:rsidRDefault="00224BB4" w:rsidP="00224BB4">
      <w:r w:rsidRPr="00224BB4">
        <w:t>“How should sustainability information be disclosed?”</w:t>
      </w:r>
    </w:p>
    <w:p w14:paraId="2537222B" w14:textId="77777777" w:rsidR="00224BB4" w:rsidRPr="00224BB4" w:rsidRDefault="00224BB4" w:rsidP="00224BB4">
      <w:r w:rsidRPr="00224BB4">
        <w:t>But increasingly:</w:t>
      </w:r>
    </w:p>
    <w:p w14:paraId="4F2687F0" w14:textId="77777777" w:rsidR="00224BB4" w:rsidRPr="00224BB4" w:rsidRDefault="00224BB4" w:rsidP="00224BB4">
      <w:r w:rsidRPr="00224BB4">
        <w:t>“How can evidence systems remain structurally interoperable across ecosystems?”</w:t>
      </w:r>
    </w:p>
    <w:p w14:paraId="1439E47F" w14:textId="77777777" w:rsidR="00224BB4" w:rsidRPr="00224BB4" w:rsidRDefault="00224BB4" w:rsidP="00224BB4">
      <w:r w:rsidRPr="00224BB4">
        <w:pict w14:anchorId="5350942A">
          <v:rect id="_x0000_i1049" style="width:486pt;height:.75pt" o:hrpct="0" o:hralign="center" o:hrstd="t" o:hr="t" fillcolor="#a0a0a0" stroked="f"/>
        </w:pict>
      </w:r>
    </w:p>
    <w:p w14:paraId="0BFF9B9B" w14:textId="77777777" w:rsidR="00224BB4" w:rsidRPr="00224BB4" w:rsidRDefault="00224BB4" w:rsidP="00224BB4">
      <w:pPr>
        <w:rPr>
          <w:b/>
          <w:bCs/>
        </w:rPr>
      </w:pPr>
      <w:r w:rsidRPr="00224BB4">
        <w:rPr>
          <w:b/>
          <w:bCs/>
        </w:rPr>
        <w:t>Evidence Infrastructure Signal</w:t>
      </w:r>
    </w:p>
    <w:p w14:paraId="68013703" w14:textId="77777777" w:rsidR="00224BB4" w:rsidRPr="00224BB4" w:rsidRDefault="00224BB4" w:rsidP="00224BB4">
      <w:r w:rsidRPr="00224BB4">
        <w:t>Evidence Infrastructure Signal is an ongoing publication series observing structural shifts across interoperability, traceability and sustainability data ecosystems.</w:t>
      </w:r>
    </w:p>
    <w:p w14:paraId="11A866A7" w14:textId="77777777" w:rsidR="00224BB4" w:rsidRPr="00224BB4" w:rsidRDefault="00224BB4" w:rsidP="00224BB4">
      <w:r w:rsidRPr="00224BB4">
        <w:t>Illustrative ecosystem observations only.</w:t>
      </w:r>
    </w:p>
    <w:p w14:paraId="351926C6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E72D7"/>
    <w:multiLevelType w:val="multilevel"/>
    <w:tmpl w:val="DA24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7D7B52"/>
    <w:multiLevelType w:val="multilevel"/>
    <w:tmpl w:val="BBB2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636986">
    <w:abstractNumId w:val="0"/>
  </w:num>
  <w:num w:numId="2" w16cid:durableId="433988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526"/>
    <w:rsid w:val="00224BB4"/>
    <w:rsid w:val="007E240A"/>
    <w:rsid w:val="00B159C3"/>
    <w:rsid w:val="00F10D07"/>
    <w:rsid w:val="00F16526"/>
    <w:rsid w:val="00F3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4F176"/>
  <w15:chartTrackingRefBased/>
  <w15:docId w15:val="{FF3DB204-7B96-47F4-BF47-1E4519CA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16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6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6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6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6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6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6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6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6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165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16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1652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16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16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16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16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16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16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6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16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6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16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6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16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6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6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6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16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652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24BB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24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2026-08-16T09:32:00Z</dcterms:created>
  <dcterms:modified xsi:type="dcterms:W3CDTF">2026-08-16T09:32:00Z</dcterms:modified>
</cp:coreProperties>
</file>