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00C41" w14:textId="77777777" w:rsidR="00997494" w:rsidRDefault="00997494" w:rsidP="00997494">
      <w:pPr>
        <w:rPr>
          <w:b/>
          <w:bCs/>
        </w:rPr>
      </w:pPr>
      <w:r w:rsidRPr="00997494">
        <w:rPr>
          <w:b/>
          <w:bCs/>
        </w:rPr>
        <w:t xml:space="preserve">EVIDENCE INFRASTRUCTURE ANALYSIS · 005 </w:t>
      </w:r>
    </w:p>
    <w:p w14:paraId="4D412248" w14:textId="431BE07E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THE EVIDENCE REALITY GAP</w:t>
      </w:r>
    </w:p>
    <w:p w14:paraId="082A8C8F" w14:textId="77777777" w:rsidR="00997494" w:rsidRPr="00997494" w:rsidRDefault="00997494" w:rsidP="00997494">
      <w:r w:rsidRPr="00997494">
        <w:t>July 26, 2026</w:t>
      </w:r>
    </w:p>
    <w:p w14:paraId="635F05D1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Why Nature Governance Is Becoming an Upstream Evidence Allocation Problem</w:t>
      </w:r>
    </w:p>
    <w:p w14:paraId="4F6F01C9" w14:textId="77777777" w:rsidR="00997494" w:rsidRPr="00997494" w:rsidRDefault="00997494" w:rsidP="00997494">
      <w:r w:rsidRPr="00997494">
        <w:pict w14:anchorId="3C72186C">
          <v:rect id="_x0000_i1089" style="width:486pt;height:.75pt" o:hrpct="0" o:hralign="center" o:hrstd="t" o:hr="t" fillcolor="#a0a0a0" stroked="f"/>
        </w:pict>
      </w:r>
    </w:p>
    <w:p w14:paraId="70A45435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Evidence Infrastructure Analysis</w:t>
      </w:r>
    </w:p>
    <w:p w14:paraId="6B3F6D70" w14:textId="77777777" w:rsidR="00997494" w:rsidRPr="00997494" w:rsidRDefault="00997494" w:rsidP="00997494">
      <w:r w:rsidRPr="00997494">
        <w:t>Evidence Infrastructure Analysis is a publication series examining structural developments across global governance, sustainability, interoperability and institutional evidence ecosystems.</w:t>
      </w:r>
    </w:p>
    <w:p w14:paraId="7B564903" w14:textId="77777777" w:rsidR="00997494" w:rsidRPr="00997494" w:rsidRDefault="00997494" w:rsidP="00997494">
      <w:r w:rsidRPr="00997494">
        <w:t>Rather than evaluating individual reports or policy proposals in isolation, each edition explores how major institutional developments reveal broader shifts in the architecture of trust, accountability and implementation.</w:t>
      </w:r>
    </w:p>
    <w:p w14:paraId="383BE483" w14:textId="77777777" w:rsidR="00997494" w:rsidRPr="00997494" w:rsidRDefault="00997494" w:rsidP="00997494">
      <w:r w:rsidRPr="00997494">
        <w:t>This edition examines the Taskforce on Nature-related Financial Disclosures (TNFD) July 2026 consultation package covering Environmental Crime, Risk Assessment Refinements and Invasive Alien Species (IAS), together with its interaction with the evolving ISSB sustainability architecture.</w:t>
      </w:r>
    </w:p>
    <w:p w14:paraId="6CBA4922" w14:textId="77777777" w:rsidR="00997494" w:rsidRPr="00997494" w:rsidRDefault="00997494" w:rsidP="00997494">
      <w:r w:rsidRPr="00997494">
        <w:pict w14:anchorId="001FC520">
          <v:rect id="_x0000_i1090" style="width:486pt;height:.75pt" o:hrpct="0" o:hralign="center" o:hrstd="t" o:hr="t" fillcolor="#a0a0a0" stroked="f"/>
        </w:pict>
      </w:r>
    </w:p>
    <w:p w14:paraId="41948B7F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Executive Summary</w:t>
      </w:r>
    </w:p>
    <w:p w14:paraId="7AB86192" w14:textId="77777777" w:rsidR="00997494" w:rsidRPr="00997494" w:rsidRDefault="00997494" w:rsidP="00997494">
      <w:r w:rsidRPr="00997494">
        <w:t>The July 2026 TNFD consultation package represents more than a technical refinement of nature-related disclosures.</w:t>
      </w:r>
    </w:p>
    <w:p w14:paraId="0E842776" w14:textId="77777777" w:rsidR="00997494" w:rsidRPr="00997494" w:rsidRDefault="00997494" w:rsidP="00997494">
      <w:r w:rsidRPr="00997494">
        <w:t>Across three separate consultation papers, the Taskforce addresses environmental crime, financial risk assessment and invasive alien species management.</w:t>
      </w:r>
    </w:p>
    <w:p w14:paraId="7EEA926F" w14:textId="77777777" w:rsidR="00997494" w:rsidRPr="00997494" w:rsidRDefault="00997494" w:rsidP="00997494">
      <w:r w:rsidRPr="00997494">
        <w:t>Viewed individually, these appear to be highly specialized topics.</w:t>
      </w:r>
    </w:p>
    <w:p w14:paraId="0800B1DA" w14:textId="77777777" w:rsidR="00997494" w:rsidRPr="00997494" w:rsidRDefault="00997494" w:rsidP="00997494">
      <w:r w:rsidRPr="00997494">
        <w:t>Viewed collectively, however, they reveal a common institutional direction.</w:t>
      </w:r>
    </w:p>
    <w:p w14:paraId="1DB39FAF" w14:textId="77777777" w:rsidR="00997494" w:rsidRPr="00997494" w:rsidRDefault="00997494" w:rsidP="00997494">
      <w:r w:rsidRPr="00997494">
        <w:t>Nature governance is moving beyond narrative disclosure toward evidence-</w:t>
      </w:r>
      <w:r w:rsidRPr="00997494">
        <w:lastRenderedPageBreak/>
        <w:t>dependent implementation.</w:t>
      </w:r>
    </w:p>
    <w:p w14:paraId="0F01CBDA" w14:textId="77777777" w:rsidR="00997494" w:rsidRPr="00997494" w:rsidRDefault="00997494" w:rsidP="00997494">
      <w:r w:rsidRPr="00997494">
        <w:t>Environmental crime, financial quantification and biosecurity ultimately converge on the same requirement:</w:t>
      </w:r>
    </w:p>
    <w:p w14:paraId="52F6246A" w14:textId="77777777" w:rsidR="00997494" w:rsidRPr="00997494" w:rsidRDefault="00997494" w:rsidP="00997494">
      <w:r w:rsidRPr="00997494">
        <w:rPr>
          <w:b/>
          <w:bCs/>
        </w:rPr>
        <w:t>Trustworthy operational evidence generated before disclosure begins.</w:t>
      </w:r>
    </w:p>
    <w:p w14:paraId="47DFD584" w14:textId="77777777" w:rsidR="00997494" w:rsidRPr="00997494" w:rsidRDefault="00997494" w:rsidP="00997494">
      <w:r w:rsidRPr="00997494">
        <w:t>Nature governance is therefore becoming an upstream evidence allocation problem.</w:t>
      </w:r>
    </w:p>
    <w:p w14:paraId="710F0F14" w14:textId="77777777" w:rsidR="00997494" w:rsidRPr="00997494" w:rsidRDefault="00997494" w:rsidP="00997494">
      <w:r w:rsidRPr="00997494">
        <w:pict w14:anchorId="5DDA0097">
          <v:rect id="_x0000_i1091" style="width:486pt;height:.75pt" o:hrpct="0" o:hralign="center" o:hrstd="t" o:hr="t" fillcolor="#a0a0a0" stroked="f"/>
        </w:pict>
      </w:r>
    </w:p>
    <w:p w14:paraId="69C26235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Opening</w:t>
      </w:r>
    </w:p>
    <w:p w14:paraId="613E737A" w14:textId="77777777" w:rsidR="00997494" w:rsidRPr="00997494" w:rsidRDefault="00997494" w:rsidP="00997494">
      <w:r w:rsidRPr="00997494">
        <w:t>For years, nature-related reporting has largely operated through a retrospective disclosure model.</w:t>
      </w:r>
    </w:p>
    <w:p w14:paraId="33E10290" w14:textId="77777777" w:rsidR="00997494" w:rsidRPr="00997494" w:rsidRDefault="00997494" w:rsidP="00997494">
      <w:r w:rsidRPr="00997494">
        <w:t>Nature Exposure → Corporate Questionnaire → Sustainability Report → Assurance</w:t>
      </w:r>
    </w:p>
    <w:p w14:paraId="5A2C0FB9" w14:textId="77777777" w:rsidR="00997494" w:rsidRPr="00997494" w:rsidRDefault="00997494" w:rsidP="00997494">
      <w:r w:rsidRPr="00997494">
        <w:t>Organizations completed questionnaires.</w:t>
      </w:r>
    </w:p>
    <w:p w14:paraId="67641BFF" w14:textId="77777777" w:rsidR="00997494" w:rsidRPr="00997494" w:rsidRDefault="00997494" w:rsidP="00997494">
      <w:r w:rsidRPr="00997494">
        <w:t>Reports were prepared.</w:t>
      </w:r>
    </w:p>
    <w:p w14:paraId="06930624" w14:textId="77777777" w:rsidR="00997494" w:rsidRPr="00997494" w:rsidRDefault="00997494" w:rsidP="00997494">
      <w:r w:rsidRPr="00997494">
        <w:t>Assurance reviewed reporting processes.</w:t>
      </w:r>
    </w:p>
    <w:p w14:paraId="515F5A42" w14:textId="77777777" w:rsidR="00997494" w:rsidRPr="00997494" w:rsidRDefault="00997494" w:rsidP="00997494">
      <w:r w:rsidRPr="00997494">
        <w:t>Disclosure followed.</w:t>
      </w:r>
    </w:p>
    <w:p w14:paraId="5216853F" w14:textId="77777777" w:rsidR="00997494" w:rsidRPr="00997494" w:rsidRDefault="00997494" w:rsidP="00997494">
      <w:r w:rsidRPr="00997494">
        <w:t>The TNFD's July 2026 consultation package suggests that this model may be approaching its institutional limits.</w:t>
      </w:r>
    </w:p>
    <w:p w14:paraId="4502919C" w14:textId="77777777" w:rsidR="00997494" w:rsidRPr="00997494" w:rsidRDefault="00997494" w:rsidP="00997494">
      <w:r w:rsidRPr="00997494">
        <w:t>Rather than focusing primarily on additional disclosure recommendations, the consultation papers repeatedly return to a different challenge.</w:t>
      </w:r>
    </w:p>
    <w:p w14:paraId="0E98F1B4" w14:textId="77777777" w:rsidR="00997494" w:rsidRPr="00997494" w:rsidRDefault="00997494" w:rsidP="00997494">
      <w:r w:rsidRPr="00997494">
        <w:t>How can organizations continuously demonstrate that operational reality matches what is ultimately disclosed?</w:t>
      </w:r>
    </w:p>
    <w:p w14:paraId="1C7D4CAD" w14:textId="77777777" w:rsidR="00997494" w:rsidRPr="00997494" w:rsidRDefault="00997494" w:rsidP="00997494">
      <w:r w:rsidRPr="00997494">
        <w:t>This distinction is fundamental.</w:t>
      </w:r>
    </w:p>
    <w:p w14:paraId="0DF34ADD" w14:textId="77777777" w:rsidR="00997494" w:rsidRPr="00997494" w:rsidRDefault="00997494" w:rsidP="00997494">
      <w:r w:rsidRPr="00997494">
        <w:t>Nature governance is no longer constrained by disclosure.</w:t>
      </w:r>
    </w:p>
    <w:p w14:paraId="498BB4BC" w14:textId="77777777" w:rsidR="00997494" w:rsidRPr="00997494" w:rsidRDefault="00997494" w:rsidP="00997494">
      <w:r w:rsidRPr="00997494">
        <w:rPr>
          <w:b/>
          <w:bCs/>
        </w:rPr>
        <w:t>It is increasingly constrained by evidence.</w:t>
      </w:r>
    </w:p>
    <w:p w14:paraId="0FA16FD5" w14:textId="77777777" w:rsidR="00997494" w:rsidRPr="00997494" w:rsidRDefault="00997494" w:rsidP="00997494">
      <w:r w:rsidRPr="00997494">
        <w:pict w14:anchorId="0F5581E4">
          <v:rect id="_x0000_i1092" style="width:486pt;height:.75pt" o:hrpct="0" o:hralign="center" o:hrstd="t" o:hr="t" fillcolor="#a0a0a0" stroked="f"/>
        </w:pict>
      </w:r>
    </w:p>
    <w:p w14:paraId="3F4C088F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Environmental Crime Becomes an Evidence Problem</w:t>
      </w:r>
    </w:p>
    <w:p w14:paraId="62F1290B" w14:textId="77777777" w:rsidR="00997494" w:rsidRPr="00997494" w:rsidRDefault="00997494" w:rsidP="00997494">
      <w:r w:rsidRPr="00997494">
        <w:lastRenderedPageBreak/>
        <w:t>The consultation paper on Environmental Crime introduces an important institutional connection by explicitly linking environmental offences with broader financial crime frameworks, including Anti-Money Laundering (AML) considerations.</w:t>
      </w:r>
    </w:p>
    <w:p w14:paraId="58C075B1" w14:textId="77777777" w:rsidR="00997494" w:rsidRPr="00997494" w:rsidRDefault="00997494" w:rsidP="00997494">
      <w:r w:rsidRPr="00997494">
        <w:t>This represents more than a legal clarification.</w:t>
      </w:r>
    </w:p>
    <w:p w14:paraId="6A6FFA50" w14:textId="77777777" w:rsidR="00997494" w:rsidRPr="00997494" w:rsidRDefault="00997494" w:rsidP="00997494">
      <w:r w:rsidRPr="00997494">
        <w:t>It changes the evidential burden.</w:t>
      </w:r>
    </w:p>
    <w:p w14:paraId="64E2C84B" w14:textId="77777777" w:rsidR="00997494" w:rsidRPr="00997494" w:rsidRDefault="00997494" w:rsidP="00997494">
      <w:r w:rsidRPr="00997494">
        <w:t>In high-risk sectors such as timber, mining, seafood and agricultural commodities, organizations increasingly operate within environments where fraudulent permits, document laundering and supply chain manipulation remain persistent risks.</w:t>
      </w:r>
    </w:p>
    <w:p w14:paraId="6B2AE166" w14:textId="77777777" w:rsidR="00997494" w:rsidRPr="00997494" w:rsidRDefault="00997494" w:rsidP="00997494">
      <w:r w:rsidRPr="00997494">
        <w:t>Under these conditions, declarations alone provide limited assurance.</w:t>
      </w:r>
    </w:p>
    <w:p w14:paraId="6716056E" w14:textId="77777777" w:rsidR="00997494" w:rsidRPr="00997494" w:rsidRDefault="00997494" w:rsidP="00997494">
      <w:r w:rsidRPr="00997494">
        <w:t>Operational provenance becomes increasingly important.</w:t>
      </w:r>
    </w:p>
    <w:p w14:paraId="52DB4512" w14:textId="77777777" w:rsidR="00997494" w:rsidRPr="00997494" w:rsidRDefault="00997494" w:rsidP="00997494">
      <w:r w:rsidRPr="00997494">
        <w:t>The challenge is no longer documenting claims.</w:t>
      </w:r>
    </w:p>
    <w:p w14:paraId="40F5A3E6" w14:textId="77777777" w:rsidR="00997494" w:rsidRPr="00997494" w:rsidRDefault="00997494" w:rsidP="00997494">
      <w:r w:rsidRPr="00997494">
        <w:t>It is demonstrating that those claims originated from trustworthy operational evidence.</w:t>
      </w:r>
    </w:p>
    <w:p w14:paraId="2A9D78A9" w14:textId="77777777" w:rsidR="00997494" w:rsidRPr="00997494" w:rsidRDefault="00997494" w:rsidP="00997494">
      <w:r w:rsidRPr="00997494">
        <w:t>See content credentials</w:t>
      </w:r>
    </w:p>
    <w:p w14:paraId="762AB785" w14:textId="485E3F30" w:rsidR="00997494" w:rsidRPr="00997494" w:rsidRDefault="00997494" w:rsidP="00997494">
      <w:r w:rsidRPr="00997494">
        <w:lastRenderedPageBreak/>
        <w:drawing>
          <wp:inline distT="0" distB="0" distL="0" distR="0" wp14:anchorId="5E64D24E" wp14:editId="564FA448">
            <wp:extent cx="5274310" cy="7911465"/>
            <wp:effectExtent l="0" t="0" r="2540" b="0"/>
            <wp:docPr id="675272649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99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F5822" w14:textId="77777777" w:rsidR="00997494" w:rsidRPr="00997494" w:rsidRDefault="00997494" w:rsidP="00997494">
      <w:r w:rsidRPr="00997494">
        <w:t>The evolution from narrative disclosure to origin-verified operational evidence.</w:t>
      </w:r>
    </w:p>
    <w:p w14:paraId="30750311" w14:textId="77777777" w:rsidR="00997494" w:rsidRPr="00997494" w:rsidRDefault="00997494" w:rsidP="00997494">
      <w:r w:rsidRPr="00997494">
        <w:pict w14:anchorId="5CE4E94E">
          <v:rect id="_x0000_i1094" style="width:486pt;height:.75pt" o:hrpct="0" o:hralign="center" o:hrstd="t" o:hr="t" fillcolor="#a0a0a0" stroked="f"/>
        </w:pict>
      </w:r>
    </w:p>
    <w:p w14:paraId="1403808A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lastRenderedPageBreak/>
        <w:t>Financial Quantification Becomes a Data Lineage Problem</w:t>
      </w:r>
    </w:p>
    <w:p w14:paraId="6566EE0B" w14:textId="77777777" w:rsidR="00997494" w:rsidRPr="00997494" w:rsidRDefault="00997494" w:rsidP="00997494">
      <w:r w:rsidRPr="00997494">
        <w:t>The consultation paper on Risk Assessment Refinements acknowledges another significant institutional challenge.</w:t>
      </w:r>
    </w:p>
    <w:p w14:paraId="38C719E0" w14:textId="77777777" w:rsidR="00997494" w:rsidRPr="00997494" w:rsidRDefault="00997494" w:rsidP="00997494">
      <w:r w:rsidRPr="00997494">
        <w:t>Although hundreds of organizations have adopted the TNFD framework, quantitative financial assessments of nature-related risks remain limited.</w:t>
      </w:r>
    </w:p>
    <w:p w14:paraId="49388635" w14:textId="77777777" w:rsidR="00997494" w:rsidRPr="00997494" w:rsidRDefault="00997494" w:rsidP="00997494">
      <w:r w:rsidRPr="00997494">
        <w:t>This observation helps explain a broader development across the sustainability ecosystem.</w:t>
      </w:r>
    </w:p>
    <w:p w14:paraId="1881854F" w14:textId="77777777" w:rsidR="00997494" w:rsidRPr="00997494" w:rsidRDefault="00997494" w:rsidP="00997494">
      <w:r w:rsidRPr="00997494">
        <w:t>Nature-related financial impacts are inherently location-specific, ecosystem-dependent and operationally heterogeneous.</w:t>
      </w:r>
    </w:p>
    <w:p w14:paraId="3BE3EA50" w14:textId="77777777" w:rsidR="00997494" w:rsidRPr="00997494" w:rsidRDefault="00997494" w:rsidP="00997494">
      <w:r w:rsidRPr="00997494">
        <w:t>Consequently, financial institutions often rely upon secondary datasets, proxy models and regional averages.</w:t>
      </w:r>
    </w:p>
    <w:p w14:paraId="31A0C4E6" w14:textId="77777777" w:rsidR="00997494" w:rsidRPr="00997494" w:rsidRDefault="00997494" w:rsidP="00997494">
      <w:r w:rsidRPr="00997494">
        <w:t>These approaches improve consistency.</w:t>
      </w:r>
    </w:p>
    <w:p w14:paraId="7FAE6A1E" w14:textId="77777777" w:rsidR="00997494" w:rsidRPr="00997494" w:rsidRDefault="00997494" w:rsidP="00997494">
      <w:r w:rsidRPr="00997494">
        <w:t>They do not necessarily improve auditability.</w:t>
      </w:r>
    </w:p>
    <w:p w14:paraId="6129F470" w14:textId="77777777" w:rsidR="00997494" w:rsidRPr="00997494" w:rsidRDefault="00997494" w:rsidP="00997494">
      <w:r w:rsidRPr="00997494">
        <w:t>Financial quantification increasingly depends upon data lineage.</w:t>
      </w:r>
    </w:p>
    <w:p w14:paraId="21934A20" w14:textId="77777777" w:rsidR="00997494" w:rsidRPr="00997494" w:rsidRDefault="00997494" w:rsidP="00997494">
      <w:r w:rsidRPr="00997494">
        <w:t>Without reliable connections between physical operations and financial outcomes, quantitative nature reporting remains difficult to verify with confidence.</w:t>
      </w:r>
    </w:p>
    <w:p w14:paraId="2A8F7482" w14:textId="77777777" w:rsidR="00997494" w:rsidRPr="00997494" w:rsidRDefault="00997494" w:rsidP="00997494">
      <w:r w:rsidRPr="00997494">
        <w:t>See content credentials</w:t>
      </w:r>
    </w:p>
    <w:p w14:paraId="5C75729F" w14:textId="21A01527" w:rsidR="00997494" w:rsidRPr="00997494" w:rsidRDefault="00997494" w:rsidP="00997494">
      <w:r w:rsidRPr="00997494">
        <w:lastRenderedPageBreak/>
        <w:drawing>
          <wp:inline distT="0" distB="0" distL="0" distR="0" wp14:anchorId="54D72F8C" wp14:editId="3017F1B2">
            <wp:extent cx="5274310" cy="7911465"/>
            <wp:effectExtent l="0" t="0" r="2540" b="0"/>
            <wp:docPr id="930451339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10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B1DF9" w14:textId="77777777" w:rsidR="00997494" w:rsidRPr="00997494" w:rsidRDefault="00997494" w:rsidP="00997494">
      <w:r w:rsidRPr="00997494">
        <w:t>Comparing legacy disclosure architecture with continuous evidence infrastructure.</w:t>
      </w:r>
    </w:p>
    <w:p w14:paraId="457995A0" w14:textId="77777777" w:rsidR="00997494" w:rsidRPr="00997494" w:rsidRDefault="00997494" w:rsidP="00997494">
      <w:r w:rsidRPr="00997494">
        <w:lastRenderedPageBreak/>
        <w:pict w14:anchorId="5E48025F">
          <v:rect id="_x0000_i1096" style="width:486pt;height:.75pt" o:hrpct="0" o:hralign="center" o:hrstd="t" o:hr="t" fillcolor="#a0a0a0" stroked="f"/>
        </w:pict>
      </w:r>
    </w:p>
    <w:p w14:paraId="646DEF7E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Biosecurity Becomes a Verification Problem</w:t>
      </w:r>
    </w:p>
    <w:p w14:paraId="6889A2D7" w14:textId="77777777" w:rsidR="00997494" w:rsidRPr="00997494" w:rsidRDefault="00997494" w:rsidP="00997494">
      <w:r w:rsidRPr="00997494">
        <w:t>The consultation paper on Invasive Alien Species introduces another important transition.</w:t>
      </w:r>
    </w:p>
    <w:p w14:paraId="03390BCB" w14:textId="77777777" w:rsidR="00997494" w:rsidRPr="00997494" w:rsidRDefault="00997494" w:rsidP="00997494">
      <w:r w:rsidRPr="00997494">
        <w:t>Rather than emphasizing species outcome measurements alone, the proposed framework increasingly focuses on pathway management.</w:t>
      </w:r>
    </w:p>
    <w:p w14:paraId="3E861D9F" w14:textId="77777777" w:rsidR="00997494" w:rsidRPr="00997494" w:rsidRDefault="00997494" w:rsidP="00997494">
      <w:r w:rsidRPr="00997494">
        <w:t>This reflects operational reality.</w:t>
      </w:r>
    </w:p>
    <w:p w14:paraId="3A2B436B" w14:textId="77777777" w:rsidR="00997494" w:rsidRPr="00997494" w:rsidRDefault="00997494" w:rsidP="00997494">
      <w:r w:rsidRPr="00997494">
        <w:t>Organizations frequently possess greater control over transport pathways, equipment movement and operational procedures than over ecological outcomes themselves.</w:t>
      </w:r>
    </w:p>
    <w:p w14:paraId="28C62482" w14:textId="77777777" w:rsidR="00997494" w:rsidRPr="00997494" w:rsidRDefault="00997494" w:rsidP="00997494">
      <w:r w:rsidRPr="00997494">
        <w:t>However, another challenge immediately emerges.</w:t>
      </w:r>
    </w:p>
    <w:p w14:paraId="54735163" w14:textId="77777777" w:rsidR="00997494" w:rsidRPr="00997494" w:rsidRDefault="00997494" w:rsidP="00997494">
      <w:r w:rsidRPr="00997494">
        <w:t>Many organizations continue to rely upon manually completed inspection records, contractor declarations and paper-based operational logs.</w:t>
      </w:r>
    </w:p>
    <w:p w14:paraId="67062BB6" w14:textId="77777777" w:rsidR="00997494" w:rsidRPr="00997494" w:rsidRDefault="00997494" w:rsidP="00997494">
      <w:r w:rsidRPr="00997494">
        <w:t>In complex operational environments, retrospective documentation cannot consistently demonstrate that required actions were actually performed.</w:t>
      </w:r>
    </w:p>
    <w:p w14:paraId="72C7E2C5" w14:textId="77777777" w:rsidR="00997494" w:rsidRPr="00997494" w:rsidRDefault="00997494" w:rsidP="00997494">
      <w:r w:rsidRPr="00997494">
        <w:t>Verification therefore shifts closer to the operational source.</w:t>
      </w:r>
    </w:p>
    <w:p w14:paraId="795390DB" w14:textId="77777777" w:rsidR="00997494" w:rsidRPr="00997494" w:rsidRDefault="00997494" w:rsidP="00997494">
      <w:r w:rsidRPr="00997494">
        <w:t>Nature governance increasingly depends upon continuously verifiable operational activities rather than retrospective administrative documentation.</w:t>
      </w:r>
    </w:p>
    <w:p w14:paraId="15E913FA" w14:textId="77777777" w:rsidR="00997494" w:rsidRPr="00997494" w:rsidRDefault="00997494" w:rsidP="00997494">
      <w:r w:rsidRPr="00997494">
        <w:pict w14:anchorId="0B8FE1AA">
          <v:rect id="_x0000_i1097" style="width:486pt;height:.75pt" o:hrpct="0" o:hralign="center" o:hrstd="t" o:hr="t" fillcolor="#a0a0a0" stroked="f"/>
        </w:pict>
      </w:r>
    </w:p>
    <w:p w14:paraId="29B01F62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Evidence Infrastructure Perspective</w:t>
      </w:r>
    </w:p>
    <w:p w14:paraId="64B0C9F7" w14:textId="77777777" w:rsidR="00997494" w:rsidRPr="00997494" w:rsidRDefault="00997494" w:rsidP="00997494">
      <w:r w:rsidRPr="00997494">
        <w:t>Viewed together, the three consultation papers reveal a common institutional direction.</w:t>
      </w:r>
    </w:p>
    <w:p w14:paraId="6D4100FD" w14:textId="77777777" w:rsidR="00997494" w:rsidRPr="00997494" w:rsidRDefault="00997494" w:rsidP="00997494">
      <w:r w:rsidRPr="00997494">
        <w:t>Nature governance is entering an evidence-intensive phase.</w:t>
      </w:r>
    </w:p>
    <w:p w14:paraId="71CFD834" w14:textId="77777777" w:rsidR="00997494" w:rsidRPr="00997494" w:rsidRDefault="00997494" w:rsidP="00997494">
      <w:r w:rsidRPr="00997494">
        <w:t>Reporting frameworks remain essential.</w:t>
      </w:r>
    </w:p>
    <w:p w14:paraId="4DA62B1E" w14:textId="77777777" w:rsidR="00997494" w:rsidRPr="00997494" w:rsidRDefault="00997494" w:rsidP="00997494">
      <w:r w:rsidRPr="00997494">
        <w:t>Standardized metrics remain essential.</w:t>
      </w:r>
    </w:p>
    <w:p w14:paraId="7AD0EAD9" w14:textId="77777777" w:rsidR="00997494" w:rsidRPr="00997494" w:rsidRDefault="00997494" w:rsidP="00997494">
      <w:r w:rsidRPr="00997494">
        <w:t>Digital taxonomies remain essential.</w:t>
      </w:r>
    </w:p>
    <w:p w14:paraId="3BCE7594" w14:textId="77777777" w:rsidR="00997494" w:rsidRPr="00997494" w:rsidRDefault="00997494" w:rsidP="00997494">
      <w:r w:rsidRPr="00997494">
        <w:lastRenderedPageBreak/>
        <w:t>Yet all three increasingly depend upon capabilities that exist much earlier.</w:t>
      </w:r>
    </w:p>
    <w:p w14:paraId="7A817439" w14:textId="77777777" w:rsidR="00997494" w:rsidRPr="00997494" w:rsidRDefault="00997494" w:rsidP="00997494">
      <w:r w:rsidRPr="00997494">
        <w:t>International frameworks can define the language of nature-related risks.</w:t>
      </w:r>
    </w:p>
    <w:p w14:paraId="53549728" w14:textId="77777777" w:rsidR="00997494" w:rsidRPr="00997494" w:rsidRDefault="00997494" w:rsidP="00997494">
      <w:r w:rsidRPr="00997494">
        <w:t>They can recommend disclosure practices.</w:t>
      </w:r>
    </w:p>
    <w:p w14:paraId="6F37BB76" w14:textId="77777777" w:rsidR="00997494" w:rsidRPr="00997494" w:rsidRDefault="00997494" w:rsidP="00997494">
      <w:r w:rsidRPr="00997494">
        <w:t>They cannot continuously verify operational reality.</w:t>
      </w:r>
    </w:p>
    <w:p w14:paraId="481F8737" w14:textId="77777777" w:rsidR="00997494" w:rsidRPr="00997494" w:rsidRDefault="00997494" w:rsidP="00997494">
      <w:r w:rsidRPr="00997494">
        <w:t>That capability must already exist.</w:t>
      </w:r>
    </w:p>
    <w:p w14:paraId="7C9331CD" w14:textId="77777777" w:rsidR="00997494" w:rsidRPr="00997494" w:rsidRDefault="00997494" w:rsidP="00997494">
      <w:r w:rsidRPr="00997494">
        <w:t>Viewed through this perspective, the conversation surrounding nature governance begins to shift from disclosure architecture toward Evidence Infrastructure.</w:t>
      </w:r>
    </w:p>
    <w:p w14:paraId="35EA8A19" w14:textId="77777777" w:rsidR="00997494" w:rsidRPr="00997494" w:rsidRDefault="00997494" w:rsidP="00997494">
      <w:r w:rsidRPr="00997494">
        <w:t>Because future market confidence may increasingly depend upon the continuous generation of trustworthy operational evidence before reporting begins.</w:t>
      </w:r>
    </w:p>
    <w:p w14:paraId="01C0A80B" w14:textId="77777777" w:rsidR="00997494" w:rsidRPr="00997494" w:rsidRDefault="00997494" w:rsidP="00997494">
      <w:r w:rsidRPr="00997494">
        <w:pict w14:anchorId="29D0E07F">
          <v:rect id="_x0000_i1098" style="width:486pt;height:.75pt" o:hrpct="0" o:hralign="center" o:hrstd="t" o:hr="t" fillcolor="#a0a0a0" stroked="f"/>
        </w:pict>
      </w:r>
    </w:p>
    <w:p w14:paraId="56FB61FF" w14:textId="77777777" w:rsidR="00997494" w:rsidRPr="00997494" w:rsidRDefault="00997494" w:rsidP="00997494">
      <w:pPr>
        <w:rPr>
          <w:b/>
          <w:bCs/>
        </w:rPr>
      </w:pPr>
      <w:r w:rsidRPr="00997494">
        <w:rPr>
          <w:b/>
          <w:bCs/>
        </w:rPr>
        <w:t>Closing Reflection</w:t>
      </w:r>
    </w:p>
    <w:p w14:paraId="04EB4FBB" w14:textId="77777777" w:rsidR="00997494" w:rsidRPr="00997494" w:rsidRDefault="00997494" w:rsidP="00997494">
      <w:r w:rsidRPr="00997494">
        <w:t>The TNFD consultation package reflects a broader institutional transition.</w:t>
      </w:r>
    </w:p>
    <w:p w14:paraId="525E661D" w14:textId="77777777" w:rsidR="00997494" w:rsidRPr="00997494" w:rsidRDefault="00997494" w:rsidP="00997494">
      <w:r w:rsidRPr="00997494">
        <w:t>Trust is becoming continuous.</w:t>
      </w:r>
    </w:p>
    <w:p w14:paraId="0A8054AF" w14:textId="77777777" w:rsidR="00997494" w:rsidRPr="00997494" w:rsidRDefault="00997494" w:rsidP="00997494">
      <w:r w:rsidRPr="00997494">
        <w:t>Verification is moving closer to operational origin.</w:t>
      </w:r>
    </w:p>
    <w:p w14:paraId="783D717F" w14:textId="77777777" w:rsidR="00997494" w:rsidRPr="00997494" w:rsidRDefault="00997494" w:rsidP="00997494">
      <w:r w:rsidRPr="00997494">
        <w:t>Financial quantification is becoming increasingly dependent upon data lineage.</w:t>
      </w:r>
    </w:p>
    <w:p w14:paraId="6838109E" w14:textId="77777777" w:rsidR="00997494" w:rsidRPr="00997494" w:rsidRDefault="00997494" w:rsidP="00997494">
      <w:r w:rsidRPr="00997494">
        <w:t xml:space="preserve">Nature governance is becoming increasingly </w:t>
      </w:r>
      <w:proofErr w:type="gramStart"/>
      <w:r w:rsidRPr="00997494">
        <w:t>evidence-dependent</w:t>
      </w:r>
      <w:proofErr w:type="gramEnd"/>
      <w:r w:rsidRPr="00997494">
        <w:t>.</w:t>
      </w:r>
    </w:p>
    <w:p w14:paraId="49E2646D" w14:textId="77777777" w:rsidR="00997494" w:rsidRPr="00997494" w:rsidRDefault="00997494" w:rsidP="00997494">
      <w:r w:rsidRPr="00997494">
        <w:t>The central question facing capital markets is therefore changing.</w:t>
      </w:r>
    </w:p>
    <w:p w14:paraId="0D337A13" w14:textId="77777777" w:rsidR="00997494" w:rsidRPr="00997494" w:rsidRDefault="00997494" w:rsidP="00997494">
      <w:r w:rsidRPr="00997494">
        <w:t>From:</w:t>
      </w:r>
    </w:p>
    <w:p w14:paraId="0ADEE187" w14:textId="77777777" w:rsidR="00997494" w:rsidRPr="00997494" w:rsidRDefault="00997494" w:rsidP="00997494">
      <w:r w:rsidRPr="00997494">
        <w:rPr>
          <w:b/>
          <w:bCs/>
        </w:rPr>
        <w:t>"How should organizations report nature-related risks?"</w:t>
      </w:r>
    </w:p>
    <w:p w14:paraId="237EBB7B" w14:textId="77777777" w:rsidR="00997494" w:rsidRPr="00997494" w:rsidRDefault="00997494" w:rsidP="00997494">
      <w:r w:rsidRPr="00997494">
        <w:t>To:</w:t>
      </w:r>
    </w:p>
    <w:p w14:paraId="4FEB2371" w14:textId="77777777" w:rsidR="00997494" w:rsidRPr="00997494" w:rsidRDefault="00997494" w:rsidP="00997494">
      <w:r w:rsidRPr="00997494">
        <w:rPr>
          <w:b/>
          <w:bCs/>
        </w:rPr>
        <w:t>"What evidence infrastructures make nature governance continuously verifiable?"</w:t>
      </w:r>
    </w:p>
    <w:p w14:paraId="0ABB8404" w14:textId="77777777" w:rsidR="00997494" w:rsidRPr="00997494" w:rsidRDefault="00997494" w:rsidP="00997494">
      <w:r w:rsidRPr="00997494">
        <w:t xml:space="preserve">The next phase of global sustainability governance may therefore depend less on expanding disclosure frameworks, and more on strengthening the evidence </w:t>
      </w:r>
      <w:r w:rsidRPr="00997494">
        <w:lastRenderedPageBreak/>
        <w:t>infrastructures capable of continuously proving operational truth at its origin.</w:t>
      </w:r>
    </w:p>
    <w:p w14:paraId="464D7500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68"/>
    <w:rsid w:val="003A6AD1"/>
    <w:rsid w:val="007E240A"/>
    <w:rsid w:val="008E0368"/>
    <w:rsid w:val="00997494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C2F36"/>
  <w15:chartTrackingRefBased/>
  <w15:docId w15:val="{2198C9C4-58BA-46C1-916E-0D127B9E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E03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0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36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036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0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036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036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036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036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E03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E0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E036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E0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E036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E036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E036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E036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E03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036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E0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036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E03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0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E03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03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03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0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E03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036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9749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97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1068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2026-08-16T09:05:00Z</dcterms:created>
  <dcterms:modified xsi:type="dcterms:W3CDTF">2026-08-16T09:05:00Z</dcterms:modified>
</cp:coreProperties>
</file>