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A27D" w14:textId="77777777" w:rsidR="001D7D72" w:rsidRDefault="001D7D72" w:rsidP="001D7D72">
      <w:pPr>
        <w:rPr>
          <w:b/>
          <w:bCs/>
        </w:rPr>
      </w:pPr>
      <w:r w:rsidRPr="001D7D72">
        <w:rPr>
          <w:b/>
          <w:bCs/>
        </w:rPr>
        <w:t xml:space="preserve">Evidence Infrastructure Analysis · 004 </w:t>
      </w:r>
    </w:p>
    <w:p w14:paraId="004DC190" w14:textId="7C4256B0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THE LINEAR REDUCTION COLLISION</w:t>
      </w:r>
    </w:p>
    <w:p w14:paraId="680F2B8E" w14:textId="77777777" w:rsidR="001D7D72" w:rsidRPr="001D7D72" w:rsidRDefault="001D7D72" w:rsidP="001D7D72">
      <w:r w:rsidRPr="001D7D72">
        <w:t>July 19, 2026</w:t>
      </w:r>
    </w:p>
    <w:p w14:paraId="2906CBBE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Why Climate Governance Is Becoming an Evidence Allocation Problem</w:t>
      </w:r>
    </w:p>
    <w:p w14:paraId="04C2F3BF" w14:textId="77777777" w:rsidR="001D7D72" w:rsidRPr="001D7D72" w:rsidRDefault="001D7D72" w:rsidP="001D7D72">
      <w:r w:rsidRPr="001D7D72">
        <w:pict w14:anchorId="347FA807">
          <v:rect id="_x0000_i1089" style="width:486pt;height:.75pt" o:hrpct="0" o:hralign="center" o:hrstd="t" o:hr="t" fillcolor="#a0a0a0" stroked="f"/>
        </w:pict>
      </w:r>
    </w:p>
    <w:p w14:paraId="460D90F2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Evidence Infrastructure Analysis</w:t>
      </w:r>
    </w:p>
    <w:p w14:paraId="117E745A" w14:textId="77777777" w:rsidR="001D7D72" w:rsidRPr="001D7D72" w:rsidRDefault="001D7D72" w:rsidP="001D7D72">
      <w:r w:rsidRPr="001D7D72">
        <w:t>Evidence Infrastructure Analysis is a publication series examining structural developments across global governance, sustainability, interoperability and institutional evidence ecosystems.</w:t>
      </w:r>
    </w:p>
    <w:p w14:paraId="3B424B68" w14:textId="77777777" w:rsidR="001D7D72" w:rsidRPr="001D7D72" w:rsidRDefault="001D7D72" w:rsidP="001D7D72">
      <w:r w:rsidRPr="001D7D72">
        <w:t>Rather than evaluating individual policies in isolation, each edition explores how major institutional developments reveal broader shifts in the architecture of trust, accountability and implementation.</w:t>
      </w:r>
    </w:p>
    <w:p w14:paraId="79539CC9" w14:textId="77777777" w:rsidR="001D7D72" w:rsidRPr="001D7D72" w:rsidRDefault="001D7D72" w:rsidP="001D7D72">
      <w:r w:rsidRPr="001D7D72">
        <w:t>This edition examines the European Commission's proposal to amend Directive 2003/87/EC (</w:t>
      </w:r>
      <w:proofErr w:type="gramStart"/>
      <w:r w:rsidRPr="001D7D72">
        <w:t>COM(</w:t>
      </w:r>
      <w:proofErr w:type="gramEnd"/>
      <w:r w:rsidRPr="001D7D72">
        <w:t>2026) 616 final) and its implications for the future of climate governance.</w:t>
      </w:r>
    </w:p>
    <w:p w14:paraId="17B2BA37" w14:textId="77777777" w:rsidR="001D7D72" w:rsidRPr="001D7D72" w:rsidRDefault="001D7D72" w:rsidP="001D7D72">
      <w:r w:rsidRPr="001D7D72">
        <w:pict w14:anchorId="205DD462">
          <v:rect id="_x0000_i1090" style="width:486pt;height:.75pt" o:hrpct="0" o:hralign="center" o:hrstd="t" o:hr="t" fillcolor="#a0a0a0" stroked="f"/>
        </w:pict>
      </w:r>
    </w:p>
    <w:p w14:paraId="3E9E98BC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Executive Summary</w:t>
      </w:r>
    </w:p>
    <w:p w14:paraId="65564C72" w14:textId="77777777" w:rsidR="001D7D72" w:rsidRPr="001D7D72" w:rsidRDefault="001D7D72" w:rsidP="001D7D72">
      <w:r w:rsidRPr="001D7D72">
        <w:t>The European Commission's proposal to revise the European Union Emissions Trading System represents more than a routine regulatory update.</w:t>
      </w:r>
    </w:p>
    <w:p w14:paraId="3ABF9DB0" w14:textId="77777777" w:rsidR="001D7D72" w:rsidRPr="001D7D72" w:rsidRDefault="001D7D72" w:rsidP="001D7D72">
      <w:r w:rsidRPr="001D7D72">
        <w:t>By aligning the ETS with the European Union's 90% net emissions reduction target for 2040, the proposal introduces significant changes to how emissions, capital, verification and long-term liability interact within climate governance.</w:t>
      </w:r>
    </w:p>
    <w:p w14:paraId="64112E78" w14:textId="77777777" w:rsidR="001D7D72" w:rsidRPr="001D7D72" w:rsidRDefault="001D7D72" w:rsidP="001D7D72">
      <w:r w:rsidRPr="001D7D72">
        <w:t>Viewed collectively, these developments suggest an important institutional transition.</w:t>
      </w:r>
    </w:p>
    <w:p w14:paraId="0230A104" w14:textId="77777777" w:rsidR="001D7D72" w:rsidRPr="001D7D72" w:rsidRDefault="001D7D72" w:rsidP="001D7D72">
      <w:r w:rsidRPr="001D7D72">
        <w:t>Climate compliance is becoming increasingly dependent upon continuous verification, milestone-based funding and the management of long-lived environmental assets.</w:t>
      </w:r>
    </w:p>
    <w:p w14:paraId="1E9DCDC1" w14:textId="77777777" w:rsidR="001D7D72" w:rsidRPr="001D7D72" w:rsidRDefault="001D7D72" w:rsidP="001D7D72">
      <w:r w:rsidRPr="001D7D72">
        <w:lastRenderedPageBreak/>
        <w:t>As a result, climate governance may be evolving from a reporting challenge into an evidence allocation problem.</w:t>
      </w:r>
    </w:p>
    <w:p w14:paraId="26EB1A8B" w14:textId="77777777" w:rsidR="001D7D72" w:rsidRPr="001D7D72" w:rsidRDefault="001D7D72" w:rsidP="001D7D72">
      <w:r w:rsidRPr="001D7D72">
        <w:pict w14:anchorId="4AA98426">
          <v:rect id="_x0000_i1091" style="width:486pt;height:.75pt" o:hrpct="0" o:hralign="center" o:hrstd="t" o:hr="t" fillcolor="#a0a0a0" stroked="f"/>
        </w:pict>
      </w:r>
    </w:p>
    <w:p w14:paraId="2465FE2B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Opening</w:t>
      </w:r>
    </w:p>
    <w:p w14:paraId="77D48FE2" w14:textId="77777777" w:rsidR="001D7D72" w:rsidRPr="001D7D72" w:rsidRDefault="001D7D72" w:rsidP="001D7D72">
      <w:r w:rsidRPr="001D7D72">
        <w:t>For decades, climate compliance has largely operated through a retrospective model.</w:t>
      </w:r>
    </w:p>
    <w:p w14:paraId="30A0D042" w14:textId="77777777" w:rsidR="001D7D72" w:rsidRPr="001D7D72" w:rsidRDefault="001D7D72" w:rsidP="001D7D72">
      <w:r w:rsidRPr="001D7D72">
        <w:t>Carbon → Report → Compliance</w:t>
      </w:r>
    </w:p>
    <w:p w14:paraId="246230E5" w14:textId="77777777" w:rsidR="001D7D72" w:rsidRPr="001D7D72" w:rsidRDefault="001D7D72" w:rsidP="001D7D72">
      <w:r w:rsidRPr="001D7D72">
        <w:t>Organizations generated emissions.</w:t>
      </w:r>
    </w:p>
    <w:p w14:paraId="65FA8E84" w14:textId="77777777" w:rsidR="001D7D72" w:rsidRPr="001D7D72" w:rsidRDefault="001D7D72" w:rsidP="001D7D72">
      <w:r w:rsidRPr="001D7D72">
        <w:t>Reports were prepared.</w:t>
      </w:r>
    </w:p>
    <w:p w14:paraId="583A492D" w14:textId="77777777" w:rsidR="001D7D72" w:rsidRPr="001D7D72" w:rsidRDefault="001D7D72" w:rsidP="001D7D72">
      <w:r w:rsidRPr="001D7D72">
        <w:t>Third-party assurance provided confidence.</w:t>
      </w:r>
    </w:p>
    <w:p w14:paraId="4F161A6A" w14:textId="77777777" w:rsidR="001D7D72" w:rsidRPr="001D7D72" w:rsidRDefault="001D7D72" w:rsidP="001D7D72">
      <w:r w:rsidRPr="001D7D72">
        <w:t>Compliance followed.</w:t>
      </w:r>
    </w:p>
    <w:p w14:paraId="1E0030E6" w14:textId="77777777" w:rsidR="001D7D72" w:rsidRPr="001D7D72" w:rsidRDefault="001D7D72" w:rsidP="001D7D72">
      <w:r w:rsidRPr="001D7D72">
        <w:t>The European Commission's 2026 proposal suggests that this paradigm may be approaching its practical limits.</w:t>
      </w:r>
    </w:p>
    <w:p w14:paraId="0860999C" w14:textId="77777777" w:rsidR="001D7D72" w:rsidRPr="001D7D72" w:rsidRDefault="001D7D72" w:rsidP="001D7D72">
      <w:r w:rsidRPr="001D7D72">
        <w:t>By revising the Linear Reduction Factor, integrating permanent carbon removals into the cap mechanism and linking funding directly to independently verified implementation milestones, the proposal introduces a different model:</w:t>
      </w:r>
    </w:p>
    <w:p w14:paraId="7CF1B608" w14:textId="77777777" w:rsidR="001D7D72" w:rsidRPr="001D7D72" w:rsidRDefault="001D7D72" w:rsidP="001D7D72">
      <w:r w:rsidRPr="001D7D72">
        <w:t>Carbon → Evidence → Verification → Capital → Compliance</w:t>
      </w:r>
    </w:p>
    <w:p w14:paraId="5FE1523B" w14:textId="77777777" w:rsidR="001D7D72" w:rsidRPr="001D7D72" w:rsidRDefault="001D7D72" w:rsidP="001D7D72">
      <w:r w:rsidRPr="001D7D72">
        <w:t>This distinction is subtle but important.</w:t>
      </w:r>
    </w:p>
    <w:p w14:paraId="621C8F0D" w14:textId="77777777" w:rsidR="001D7D72" w:rsidRPr="001D7D72" w:rsidRDefault="001D7D72" w:rsidP="001D7D72">
      <w:r w:rsidRPr="001D7D72">
        <w:t>Climate governance is no longer concerned solely with measuring emissions.</w:t>
      </w:r>
    </w:p>
    <w:p w14:paraId="7CA8DBF5" w14:textId="77777777" w:rsidR="001D7D72" w:rsidRPr="001D7D72" w:rsidRDefault="001D7D72" w:rsidP="001D7D72">
      <w:r w:rsidRPr="001D7D72">
        <w:t>It is increasingly concerned with determining which evidence is sufficiently trustworthy to unlock capital, allocate allowances and sustain regulatory confidence.</w:t>
      </w:r>
    </w:p>
    <w:p w14:paraId="750B37F8" w14:textId="77777777" w:rsidR="001D7D72" w:rsidRPr="001D7D72" w:rsidRDefault="001D7D72" w:rsidP="001D7D72">
      <w:r w:rsidRPr="001D7D72">
        <w:t>See content credentials</w:t>
      </w:r>
    </w:p>
    <w:p w14:paraId="4A6F0993" w14:textId="193B4083" w:rsidR="001D7D72" w:rsidRPr="001D7D72" w:rsidRDefault="001D7D72" w:rsidP="001D7D72">
      <w:r w:rsidRPr="001D7D72">
        <w:lastRenderedPageBreak/>
        <w:drawing>
          <wp:inline distT="0" distB="0" distL="0" distR="0" wp14:anchorId="643F89C2" wp14:editId="1A5A6757">
            <wp:extent cx="5274310" cy="7864475"/>
            <wp:effectExtent l="0" t="0" r="2540" b="3175"/>
            <wp:docPr id="2104172021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87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6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F1635" w14:textId="77777777" w:rsidR="001D7D72" w:rsidRPr="001D7D72" w:rsidRDefault="001D7D72" w:rsidP="001D7D72">
      <w:r w:rsidRPr="001D7D72">
        <w:t>Figure 1: The transition of capital velocity in climate governance.</w:t>
      </w:r>
    </w:p>
    <w:p w14:paraId="4393C5DF" w14:textId="77777777" w:rsidR="001D7D72" w:rsidRPr="001D7D72" w:rsidRDefault="001D7D72" w:rsidP="001D7D72">
      <w:r w:rsidRPr="001D7D72">
        <w:pict w14:anchorId="7494BD27">
          <v:rect id="_x0000_i1093" style="width:486pt;height:.75pt" o:hrpct="0" o:hralign="center" o:hrstd="t" o:hr="t" fillcolor="#a0a0a0" stroked="f"/>
        </w:pict>
      </w:r>
    </w:p>
    <w:p w14:paraId="171AD4F4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lastRenderedPageBreak/>
        <w:t>Milestone-Based Climate Capitalism</w:t>
      </w:r>
    </w:p>
    <w:p w14:paraId="7B685F6A" w14:textId="77777777" w:rsidR="001D7D72" w:rsidRPr="001D7D72" w:rsidRDefault="001D7D72" w:rsidP="001D7D72">
      <w:r w:rsidRPr="001D7D72">
        <w:t xml:space="preserve">One of the most significant developments within the proposal is the creation of the Industrial </w:t>
      </w:r>
      <w:proofErr w:type="spellStart"/>
      <w:r w:rsidRPr="001D7D72">
        <w:t>Decarbonisation</w:t>
      </w:r>
      <w:proofErr w:type="spellEnd"/>
      <w:r w:rsidRPr="001D7D72">
        <w:t xml:space="preserve"> Bank and its Investment Booster phase between 2028 and 2030.</w:t>
      </w:r>
    </w:p>
    <w:p w14:paraId="6E217059" w14:textId="77777777" w:rsidR="001D7D72" w:rsidRPr="001D7D72" w:rsidRDefault="001D7D72" w:rsidP="001D7D72">
      <w:r w:rsidRPr="001D7D72">
        <w:t>The mechanism reserves 400 million allowances to support mature decarbonization technologies through a milestone-based framework.</w:t>
      </w:r>
    </w:p>
    <w:p w14:paraId="13DFF681" w14:textId="77777777" w:rsidR="001D7D72" w:rsidRPr="001D7D72" w:rsidRDefault="001D7D72" w:rsidP="001D7D72">
      <w:r w:rsidRPr="001D7D72">
        <w:t>Funding is contingent upon:</w:t>
      </w:r>
    </w:p>
    <w:p w14:paraId="12006332" w14:textId="77777777" w:rsidR="001D7D72" w:rsidRPr="001D7D72" w:rsidRDefault="001D7D72" w:rsidP="001D7D72">
      <w:r w:rsidRPr="001D7D72">
        <w:t>Project Submission → Completion Bonds → Independent Verification → Funding Release</w:t>
      </w:r>
    </w:p>
    <w:p w14:paraId="33EA2EB6" w14:textId="77777777" w:rsidR="001D7D72" w:rsidRPr="001D7D72" w:rsidRDefault="001D7D72" w:rsidP="001D7D72">
      <w:r w:rsidRPr="001D7D72">
        <w:t>This represents an important institutional shift.</w:t>
      </w:r>
    </w:p>
    <w:p w14:paraId="3A0EC2C6" w14:textId="77777777" w:rsidR="001D7D72" w:rsidRPr="001D7D72" w:rsidRDefault="001D7D72" w:rsidP="001D7D72">
      <w:r w:rsidRPr="001D7D72">
        <w:t>Capital is no longer allocated solely on the basis of commitments.</w:t>
      </w:r>
    </w:p>
    <w:p w14:paraId="63530AC8" w14:textId="77777777" w:rsidR="001D7D72" w:rsidRPr="001D7D72" w:rsidRDefault="001D7D72" w:rsidP="001D7D72">
      <w:r w:rsidRPr="001D7D72">
        <w:t>It is increasingly allocated on the basis of execution.</w:t>
      </w:r>
    </w:p>
    <w:p w14:paraId="03D1873B" w14:textId="77777777" w:rsidR="001D7D72" w:rsidRPr="001D7D72" w:rsidRDefault="001D7D72" w:rsidP="001D7D72">
      <w:r w:rsidRPr="001D7D72">
        <w:t>As funding velocity becomes tied to independently verified outcomes, organizations may increasingly require infrastructures capable of translating operational activities into machine-verifiable evidence before reporting periods conclude.</w:t>
      </w:r>
    </w:p>
    <w:p w14:paraId="183D9D7B" w14:textId="77777777" w:rsidR="001D7D72" w:rsidRPr="001D7D72" w:rsidRDefault="001D7D72" w:rsidP="001D7D72">
      <w:r w:rsidRPr="001D7D72">
        <w:pict w14:anchorId="09296DAB">
          <v:rect id="_x0000_i1094" style="width:486pt;height:.75pt" o:hrpct="0" o:hralign="center" o:hrstd="t" o:hr="t" fillcolor="#a0a0a0" stroked="f"/>
        </w:pict>
      </w:r>
    </w:p>
    <w:p w14:paraId="0ECF3042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Carbon Removal as a Continuity Problem</w:t>
      </w:r>
    </w:p>
    <w:p w14:paraId="3D7B0CC6" w14:textId="77777777" w:rsidR="001D7D72" w:rsidRPr="001D7D72" w:rsidRDefault="001D7D72" w:rsidP="001D7D72">
      <w:r w:rsidRPr="001D7D72">
        <w:t>A second transition emerges through the integration of permanent carbon removals into the EU ETS.</w:t>
      </w:r>
    </w:p>
    <w:p w14:paraId="34A5D5A2" w14:textId="77777777" w:rsidR="001D7D72" w:rsidRPr="001D7D72" w:rsidRDefault="001D7D72" w:rsidP="001D7D72">
      <w:r w:rsidRPr="001D7D72">
        <w:t xml:space="preserve">Beginning in 2031, the European Union intends to procure 250 million allowances associated with certified </w:t>
      </w:r>
      <w:proofErr w:type="spellStart"/>
      <w:r w:rsidRPr="001D7D72">
        <w:t>BioCCS</w:t>
      </w:r>
      <w:proofErr w:type="spellEnd"/>
      <w:r w:rsidRPr="001D7D72">
        <w:t xml:space="preserve"> and DACCS activities.</w:t>
      </w:r>
    </w:p>
    <w:p w14:paraId="59016930" w14:textId="77777777" w:rsidR="001D7D72" w:rsidRPr="001D7D72" w:rsidRDefault="001D7D72" w:rsidP="001D7D72">
      <w:r w:rsidRPr="001D7D72">
        <w:t>Unlike traditional emissions accounting, permanent carbon removals introduce new requirements:</w:t>
      </w:r>
    </w:p>
    <w:p w14:paraId="262D3F44" w14:textId="77777777" w:rsidR="001D7D72" w:rsidRPr="001D7D72" w:rsidRDefault="001D7D72" w:rsidP="001D7D72">
      <w:pPr>
        <w:numPr>
          <w:ilvl w:val="0"/>
          <w:numId w:val="1"/>
        </w:numPr>
      </w:pPr>
      <w:r w:rsidRPr="001D7D72">
        <w:t>Multi-decade monitoring</w:t>
      </w:r>
    </w:p>
    <w:p w14:paraId="30E0CB9A" w14:textId="77777777" w:rsidR="001D7D72" w:rsidRPr="001D7D72" w:rsidRDefault="001D7D72" w:rsidP="001D7D72">
      <w:pPr>
        <w:numPr>
          <w:ilvl w:val="0"/>
          <w:numId w:val="1"/>
        </w:numPr>
      </w:pPr>
      <w:r w:rsidRPr="001D7D72">
        <w:t>Identity continuity</w:t>
      </w:r>
    </w:p>
    <w:p w14:paraId="3AEF99C1" w14:textId="77777777" w:rsidR="001D7D72" w:rsidRPr="001D7D72" w:rsidRDefault="001D7D72" w:rsidP="001D7D72">
      <w:pPr>
        <w:numPr>
          <w:ilvl w:val="0"/>
          <w:numId w:val="1"/>
        </w:numPr>
      </w:pPr>
      <w:r w:rsidRPr="001D7D72">
        <w:t>Long-term liability allocation</w:t>
      </w:r>
    </w:p>
    <w:p w14:paraId="14EA4D8B" w14:textId="77777777" w:rsidR="001D7D72" w:rsidRPr="001D7D72" w:rsidRDefault="001D7D72" w:rsidP="001D7D72">
      <w:pPr>
        <w:numPr>
          <w:ilvl w:val="0"/>
          <w:numId w:val="1"/>
        </w:numPr>
      </w:pPr>
      <w:r w:rsidRPr="001D7D72">
        <w:lastRenderedPageBreak/>
        <w:t>Reversal risk management</w:t>
      </w:r>
    </w:p>
    <w:p w14:paraId="7BAD8B75" w14:textId="77777777" w:rsidR="001D7D72" w:rsidRPr="001D7D72" w:rsidRDefault="001D7D72" w:rsidP="001D7D72">
      <w:pPr>
        <w:numPr>
          <w:ilvl w:val="0"/>
          <w:numId w:val="1"/>
        </w:numPr>
      </w:pPr>
      <w:r w:rsidRPr="001D7D72">
        <w:t>Asset permanence verification</w:t>
      </w:r>
    </w:p>
    <w:p w14:paraId="4BCC1006" w14:textId="77777777" w:rsidR="001D7D72" w:rsidRPr="001D7D72" w:rsidRDefault="001D7D72" w:rsidP="001D7D72">
      <w:r w:rsidRPr="001D7D72">
        <w:t>These requirements expose an important limitation within conventional information architectures.</w:t>
      </w:r>
    </w:p>
    <w:p w14:paraId="6E8F8E38" w14:textId="77777777" w:rsidR="001D7D72" w:rsidRPr="001D7D72" w:rsidRDefault="001D7D72" w:rsidP="001D7D72">
      <w:r w:rsidRPr="001D7D72">
        <w:t>Carbon removal is fundamentally a continuity problem.</w:t>
      </w:r>
    </w:p>
    <w:p w14:paraId="144FE498" w14:textId="77777777" w:rsidR="001D7D72" w:rsidRPr="001D7D72" w:rsidRDefault="001D7D72" w:rsidP="001D7D72">
      <w:r w:rsidRPr="001D7D72">
        <w:t>Markets may increasingly require infrastructures capable of preserving identity, context and evidential integrity throughout the entire lifecycle of a carbon asset.</w:t>
      </w:r>
    </w:p>
    <w:p w14:paraId="58016493" w14:textId="77777777" w:rsidR="001D7D72" w:rsidRPr="001D7D72" w:rsidRDefault="001D7D72" w:rsidP="001D7D72">
      <w:r w:rsidRPr="001D7D72">
        <w:t>See content credentials</w:t>
      </w:r>
    </w:p>
    <w:p w14:paraId="487C2E93" w14:textId="4A6219BB" w:rsidR="001D7D72" w:rsidRPr="001D7D72" w:rsidRDefault="001D7D72" w:rsidP="001D7D72">
      <w:r w:rsidRPr="001D7D72">
        <w:lastRenderedPageBreak/>
        <w:drawing>
          <wp:inline distT="0" distB="0" distL="0" distR="0" wp14:anchorId="1560ED33" wp14:editId="670BCA70">
            <wp:extent cx="5274310" cy="7864475"/>
            <wp:effectExtent l="0" t="0" r="2540" b="3175"/>
            <wp:docPr id="653034930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05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6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388B4" w14:textId="77777777" w:rsidR="001D7D72" w:rsidRPr="001D7D72" w:rsidRDefault="001D7D72" w:rsidP="001D7D72">
      <w:r w:rsidRPr="001D7D72">
        <w:t>Figure 2: The asset continuity matrix for permanent carbon removals.</w:t>
      </w:r>
    </w:p>
    <w:p w14:paraId="0B70504A" w14:textId="77777777" w:rsidR="001D7D72" w:rsidRPr="001D7D72" w:rsidRDefault="001D7D72" w:rsidP="001D7D72">
      <w:r w:rsidRPr="001D7D72">
        <w:pict w14:anchorId="42787A38">
          <v:rect id="_x0000_i1096" style="width:486pt;height:.75pt" o:hrpct="0" o:hralign="center" o:hrstd="t" o:hr="t" fillcolor="#a0a0a0" stroked="f"/>
        </w:pict>
      </w:r>
    </w:p>
    <w:p w14:paraId="6EC4D3C3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lastRenderedPageBreak/>
        <w:t>Compliance as a Byproduct</w:t>
      </w:r>
    </w:p>
    <w:p w14:paraId="0FFCD87A" w14:textId="77777777" w:rsidR="001D7D72" w:rsidRPr="001D7D72" w:rsidRDefault="001D7D72" w:rsidP="001D7D72">
      <w:r w:rsidRPr="001D7D72">
        <w:t>The proposal also expands regulatory coverage to smaller maritime operators and strengthens the integration of monitoring, reporting and verification processes.</w:t>
      </w:r>
    </w:p>
    <w:p w14:paraId="720984E1" w14:textId="77777777" w:rsidR="001D7D72" w:rsidRPr="001D7D72" w:rsidRDefault="001D7D72" w:rsidP="001D7D72">
      <w:r w:rsidRPr="001D7D72">
        <w:t>This creates a practical challenge.</w:t>
      </w:r>
    </w:p>
    <w:p w14:paraId="723B8D4B" w14:textId="77777777" w:rsidR="001D7D72" w:rsidRPr="001D7D72" w:rsidRDefault="001D7D72" w:rsidP="001D7D72">
      <w:r w:rsidRPr="001D7D72">
        <w:t>Small operators cannot maintain large compliance teams or sustain complex administrative workflows.</w:t>
      </w:r>
    </w:p>
    <w:p w14:paraId="71A86344" w14:textId="77777777" w:rsidR="001D7D72" w:rsidRPr="001D7D72" w:rsidRDefault="001D7D72" w:rsidP="001D7D72">
      <w:r w:rsidRPr="001D7D72">
        <w:t>As compliance requirements move deeper into operational environments, retrospective aggregation becomes increasingly difficult to sustain.</w:t>
      </w:r>
    </w:p>
    <w:p w14:paraId="63F50CA1" w14:textId="77777777" w:rsidR="001D7D72" w:rsidRPr="001D7D72" w:rsidRDefault="001D7D72" w:rsidP="001D7D72">
      <w:r w:rsidRPr="001D7D72">
        <w:t>An alternative model therefore begins to emerge.</w:t>
      </w:r>
    </w:p>
    <w:p w14:paraId="4AF2701A" w14:textId="77777777" w:rsidR="001D7D72" w:rsidRPr="001D7D72" w:rsidRDefault="001D7D72" w:rsidP="001D7D72">
      <w:r w:rsidRPr="001D7D72">
        <w:t>Compliance becomes a byproduct of operations.</w:t>
      </w:r>
    </w:p>
    <w:p w14:paraId="51C379B3" w14:textId="77777777" w:rsidR="001D7D72" w:rsidRPr="001D7D72" w:rsidRDefault="001D7D72" w:rsidP="001D7D72">
      <w:r w:rsidRPr="001D7D72">
        <w:t>Rather than treating reporting as a separate administrative exercise, organizations may increasingly seek systems where structured operational evidence naturally satisfies regulatory requirements.</w:t>
      </w:r>
    </w:p>
    <w:p w14:paraId="5320A337" w14:textId="77777777" w:rsidR="001D7D72" w:rsidRPr="001D7D72" w:rsidRDefault="001D7D72" w:rsidP="001D7D72">
      <w:r w:rsidRPr="001D7D72">
        <w:pict w14:anchorId="22F59521">
          <v:rect id="_x0000_i1097" style="width:486pt;height:.75pt" o:hrpct="0" o:hralign="center" o:hrstd="t" o:hr="t" fillcolor="#a0a0a0" stroked="f"/>
        </w:pict>
      </w:r>
    </w:p>
    <w:p w14:paraId="262250FF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Evidence Infrastructure Perspective</w:t>
      </w:r>
    </w:p>
    <w:p w14:paraId="0D89FC37" w14:textId="77777777" w:rsidR="001D7D72" w:rsidRPr="001D7D72" w:rsidRDefault="001D7D72" w:rsidP="001D7D72">
      <w:r w:rsidRPr="001D7D72">
        <w:t>Viewed together, these developments suggest that climate governance is entering a new stage of institutional maturity.</w:t>
      </w:r>
    </w:p>
    <w:p w14:paraId="019D7897" w14:textId="77777777" w:rsidR="001D7D72" w:rsidRPr="001D7D72" w:rsidRDefault="001D7D72" w:rsidP="001D7D72">
      <w:r w:rsidRPr="001D7D72">
        <w:t>Reporting remains essential.</w:t>
      </w:r>
    </w:p>
    <w:p w14:paraId="1127EB96" w14:textId="77777777" w:rsidR="001D7D72" w:rsidRPr="001D7D72" w:rsidRDefault="001D7D72" w:rsidP="001D7D72">
      <w:r w:rsidRPr="001D7D72">
        <w:t>Verification remains essential.</w:t>
      </w:r>
    </w:p>
    <w:p w14:paraId="43858BD8" w14:textId="77777777" w:rsidR="001D7D72" w:rsidRPr="001D7D72" w:rsidRDefault="001D7D72" w:rsidP="001D7D72">
      <w:r w:rsidRPr="001D7D72">
        <w:t>Compliance remains essential.</w:t>
      </w:r>
    </w:p>
    <w:p w14:paraId="7552C534" w14:textId="77777777" w:rsidR="001D7D72" w:rsidRPr="001D7D72" w:rsidRDefault="001D7D72" w:rsidP="001D7D72">
      <w:r w:rsidRPr="001D7D72">
        <w:t>Yet all three increasingly depend upon something that exists much earlier.</w:t>
      </w:r>
    </w:p>
    <w:p w14:paraId="03645B6C" w14:textId="77777777" w:rsidR="001D7D72" w:rsidRPr="001D7D72" w:rsidRDefault="001D7D72" w:rsidP="001D7D72">
      <w:r w:rsidRPr="001D7D72">
        <w:t>Organizations must first possess the capability to generate reliable, identity-bound and continuity-preserved evidence throughout everyday operations.</w:t>
      </w:r>
    </w:p>
    <w:p w14:paraId="3C13F7B4" w14:textId="77777777" w:rsidR="001D7D72" w:rsidRPr="001D7D72" w:rsidRDefault="001D7D72" w:rsidP="001D7D72">
      <w:r w:rsidRPr="001D7D72">
        <w:t>This does not imply the replacement of existing regulatory frameworks.</w:t>
      </w:r>
    </w:p>
    <w:p w14:paraId="65129A71" w14:textId="77777777" w:rsidR="001D7D72" w:rsidRPr="001D7D72" w:rsidRDefault="001D7D72" w:rsidP="001D7D72">
      <w:r w:rsidRPr="001D7D72">
        <w:t xml:space="preserve">Rather, it suggests that future governance models may increasingly assume the existence of continuous trust infrastructures capable of supporting long-lived </w:t>
      </w:r>
      <w:r w:rsidRPr="001D7D72">
        <w:lastRenderedPageBreak/>
        <w:t>assets, milestone-based funding and continuous verification.</w:t>
      </w:r>
    </w:p>
    <w:p w14:paraId="15BBCA07" w14:textId="77777777" w:rsidR="001D7D72" w:rsidRPr="001D7D72" w:rsidRDefault="001D7D72" w:rsidP="001D7D72">
      <w:r w:rsidRPr="001D7D72">
        <w:pict w14:anchorId="4266E436">
          <v:rect id="_x0000_i1098" style="width:486pt;height:.75pt" o:hrpct="0" o:hralign="center" o:hrstd="t" o:hr="t" fillcolor="#a0a0a0" stroked="f"/>
        </w:pict>
      </w:r>
    </w:p>
    <w:p w14:paraId="60423460" w14:textId="77777777" w:rsidR="001D7D72" w:rsidRPr="001D7D72" w:rsidRDefault="001D7D72" w:rsidP="001D7D72">
      <w:pPr>
        <w:rPr>
          <w:b/>
          <w:bCs/>
        </w:rPr>
      </w:pPr>
      <w:r w:rsidRPr="001D7D72">
        <w:rPr>
          <w:b/>
          <w:bCs/>
        </w:rPr>
        <w:t>Closing Reflection</w:t>
      </w:r>
    </w:p>
    <w:p w14:paraId="66E02BCD" w14:textId="77777777" w:rsidR="001D7D72" w:rsidRPr="001D7D72" w:rsidRDefault="001D7D72" w:rsidP="001D7D72">
      <w:r w:rsidRPr="001D7D72">
        <w:t>The European Commission's proposal introduces far more than a revised emissions trajectory.</w:t>
      </w:r>
    </w:p>
    <w:p w14:paraId="40FD4B03" w14:textId="77777777" w:rsidR="001D7D72" w:rsidRPr="001D7D72" w:rsidRDefault="001D7D72" w:rsidP="001D7D72">
      <w:r w:rsidRPr="001D7D72">
        <w:t>It reflects an emerging reality.</w:t>
      </w:r>
    </w:p>
    <w:p w14:paraId="50338F60" w14:textId="77777777" w:rsidR="001D7D72" w:rsidRPr="001D7D72" w:rsidRDefault="001D7D72" w:rsidP="001D7D72">
      <w:r w:rsidRPr="001D7D72">
        <w:t>Trust is becoming continuous.</w:t>
      </w:r>
    </w:p>
    <w:p w14:paraId="6510352F" w14:textId="77777777" w:rsidR="001D7D72" w:rsidRPr="001D7D72" w:rsidRDefault="001D7D72" w:rsidP="001D7D72">
      <w:r w:rsidRPr="001D7D72">
        <w:t>Verification is becoming operational.</w:t>
      </w:r>
    </w:p>
    <w:p w14:paraId="39D527B6" w14:textId="77777777" w:rsidR="001D7D72" w:rsidRPr="001D7D72" w:rsidRDefault="001D7D72" w:rsidP="001D7D72">
      <w:r w:rsidRPr="001D7D72">
        <w:t xml:space="preserve">Capital is becoming </w:t>
      </w:r>
      <w:proofErr w:type="gramStart"/>
      <w:r w:rsidRPr="001D7D72">
        <w:t>milestone-dependent</w:t>
      </w:r>
      <w:proofErr w:type="gramEnd"/>
      <w:r w:rsidRPr="001D7D72">
        <w:t>.</w:t>
      </w:r>
    </w:p>
    <w:p w14:paraId="41615093" w14:textId="77777777" w:rsidR="001D7D72" w:rsidRPr="001D7D72" w:rsidRDefault="001D7D72" w:rsidP="001D7D72">
      <w:r w:rsidRPr="001D7D72">
        <w:t xml:space="preserve">And climate governance is becoming increasingly </w:t>
      </w:r>
      <w:proofErr w:type="gramStart"/>
      <w:r w:rsidRPr="001D7D72">
        <w:t>evidence-dependent</w:t>
      </w:r>
      <w:proofErr w:type="gramEnd"/>
      <w:r w:rsidRPr="001D7D72">
        <w:t>.</w:t>
      </w:r>
    </w:p>
    <w:p w14:paraId="4D5D00FA" w14:textId="77777777" w:rsidR="001D7D72" w:rsidRPr="001D7D72" w:rsidRDefault="001D7D72" w:rsidP="001D7D72">
      <w:r w:rsidRPr="001D7D72">
        <w:t>The central question may therefore be changing.</w:t>
      </w:r>
    </w:p>
    <w:p w14:paraId="03FB4E0A" w14:textId="77777777" w:rsidR="001D7D72" w:rsidRPr="001D7D72" w:rsidRDefault="001D7D72" w:rsidP="001D7D72">
      <w:r w:rsidRPr="001D7D72">
        <w:t>From:</w:t>
      </w:r>
    </w:p>
    <w:p w14:paraId="5AED9997" w14:textId="77777777" w:rsidR="001D7D72" w:rsidRPr="001D7D72" w:rsidRDefault="001D7D72" w:rsidP="001D7D72">
      <w:r w:rsidRPr="001D7D72">
        <w:t>"How should organizations report climate performance?"</w:t>
      </w:r>
    </w:p>
    <w:p w14:paraId="682A2C64" w14:textId="77777777" w:rsidR="001D7D72" w:rsidRPr="001D7D72" w:rsidRDefault="001D7D72" w:rsidP="001D7D72">
      <w:r w:rsidRPr="001D7D72">
        <w:t>To:</w:t>
      </w:r>
    </w:p>
    <w:p w14:paraId="34F5DFCE" w14:textId="77777777" w:rsidR="001D7D72" w:rsidRPr="001D7D72" w:rsidRDefault="001D7D72" w:rsidP="001D7D72">
      <w:r w:rsidRPr="001D7D72">
        <w:t>"What evidence infrastructures make climate governance possible?"</w:t>
      </w:r>
    </w:p>
    <w:p w14:paraId="5797B5C1" w14:textId="77777777" w:rsidR="001D7D72" w:rsidRPr="001D7D72" w:rsidRDefault="001D7D72" w:rsidP="001D7D72">
      <w:r w:rsidRPr="001D7D72">
        <w:t>The next phase of global governance may ultimately depend less on how organizations report, and more on how institutions allocate trust, capital and responsibility through evidence.</w:t>
      </w:r>
    </w:p>
    <w:p w14:paraId="5CB43AC9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E4785"/>
    <w:multiLevelType w:val="multilevel"/>
    <w:tmpl w:val="EF6A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39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FF"/>
    <w:rsid w:val="001D7D72"/>
    <w:rsid w:val="00407CFF"/>
    <w:rsid w:val="0041130D"/>
    <w:rsid w:val="007E240A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4E998"/>
  <w15:chartTrackingRefBased/>
  <w15:docId w15:val="{E8C8B278-E167-44A5-B660-AC17BDF1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7CF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7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7CF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7CF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7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7CF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CF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CF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CF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07CF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07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07CF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07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07CF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07CF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07CF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07CF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07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7CF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07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7CF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07C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07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C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7C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07C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7CF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D7D7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D7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968</Words>
  <Characters>5520</Characters>
  <Application>Microsoft Office Word</Application>
  <DocSecurity>0</DocSecurity>
  <Lines>46</Lines>
  <Paragraphs>12</Paragraphs>
  <ScaleCrop>false</ScaleCrop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2026-08-16T09:09:00Z</dcterms:created>
  <dcterms:modified xsi:type="dcterms:W3CDTF">2026-08-16T09:10:00Z</dcterms:modified>
</cp:coreProperties>
</file>