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D24E7" w14:textId="77777777" w:rsidR="002D4A4B" w:rsidRDefault="002D4A4B" w:rsidP="002D4A4B">
      <w:pPr>
        <w:rPr>
          <w:b/>
          <w:bCs/>
        </w:rPr>
      </w:pPr>
      <w:r w:rsidRPr="002D4A4B">
        <w:rPr>
          <w:b/>
          <w:bCs/>
        </w:rPr>
        <w:t xml:space="preserve">Evidence Infrastructure Analysis · 003 </w:t>
      </w:r>
    </w:p>
    <w:p w14:paraId="44C96920" w14:textId="4FC12F37" w:rsidR="002D4A4B" w:rsidRPr="002D4A4B" w:rsidRDefault="002D4A4B" w:rsidP="002D4A4B">
      <w:pPr>
        <w:rPr>
          <w:b/>
          <w:bCs/>
        </w:rPr>
      </w:pPr>
      <w:r w:rsidRPr="002D4A4B">
        <w:rPr>
          <w:b/>
          <w:bCs/>
        </w:rPr>
        <w:t>THE CREDIBILITY DISCONNECT</w:t>
      </w:r>
    </w:p>
    <w:p w14:paraId="6C0E7E4D" w14:textId="77777777" w:rsidR="002D4A4B" w:rsidRPr="002D4A4B" w:rsidRDefault="002D4A4B" w:rsidP="002D4A4B">
      <w:r w:rsidRPr="002D4A4B">
        <w:t>July 18, 2026</w:t>
      </w:r>
    </w:p>
    <w:p w14:paraId="0310350E" w14:textId="77777777" w:rsidR="002D4A4B" w:rsidRPr="002D4A4B" w:rsidRDefault="002D4A4B" w:rsidP="002D4A4B">
      <w:pPr>
        <w:rPr>
          <w:b/>
          <w:bCs/>
        </w:rPr>
      </w:pPr>
      <w:r w:rsidRPr="002D4A4B">
        <w:rPr>
          <w:b/>
          <w:bCs/>
        </w:rPr>
        <w:t>Why Corporate Sustainability Is Reaching the Limits of Downstream Reporting</w:t>
      </w:r>
    </w:p>
    <w:p w14:paraId="1FD00EEA" w14:textId="77777777" w:rsidR="002D4A4B" w:rsidRPr="002D4A4B" w:rsidRDefault="002D4A4B" w:rsidP="002D4A4B">
      <w:r w:rsidRPr="002D4A4B">
        <w:pict w14:anchorId="6743A156">
          <v:rect id="_x0000_i1089" style="width:486pt;height:.75pt" o:hrpct="0" o:hralign="center" o:hrstd="t" o:hr="t" fillcolor="#a0a0a0" stroked="f"/>
        </w:pict>
      </w:r>
    </w:p>
    <w:p w14:paraId="0BD8DCAA" w14:textId="77777777" w:rsidR="002D4A4B" w:rsidRPr="002D4A4B" w:rsidRDefault="002D4A4B" w:rsidP="002D4A4B">
      <w:pPr>
        <w:rPr>
          <w:b/>
          <w:bCs/>
        </w:rPr>
      </w:pPr>
      <w:r w:rsidRPr="002D4A4B">
        <w:rPr>
          <w:b/>
          <w:bCs/>
        </w:rPr>
        <w:t>Evidence Infrastructure Analysis</w:t>
      </w:r>
    </w:p>
    <w:p w14:paraId="19960BF9" w14:textId="77777777" w:rsidR="002D4A4B" w:rsidRPr="002D4A4B" w:rsidRDefault="002D4A4B" w:rsidP="002D4A4B">
      <w:r w:rsidRPr="002D4A4B">
        <w:t>Evidence Infrastructure Analysis is a publication series examining structural developments across global governance, sustainability, interoperability and institutional evidence ecosystems.</w:t>
      </w:r>
    </w:p>
    <w:p w14:paraId="2C561B5C" w14:textId="77777777" w:rsidR="002D4A4B" w:rsidRPr="002D4A4B" w:rsidRDefault="002D4A4B" w:rsidP="002D4A4B">
      <w:r w:rsidRPr="002D4A4B">
        <w:t>Rather than evaluating individual reports in isolation, each edition explores how major institutional developments reveal broader shifts in the architecture of trust, accountability and implementation.</w:t>
      </w:r>
    </w:p>
    <w:p w14:paraId="7E647255" w14:textId="77777777" w:rsidR="002D4A4B" w:rsidRPr="002D4A4B" w:rsidRDefault="002D4A4B" w:rsidP="002D4A4B">
      <w:r w:rsidRPr="002D4A4B">
        <w:t xml:space="preserve">This edition examines EFRAG's </w:t>
      </w:r>
      <w:r w:rsidRPr="002D4A4B">
        <w:rPr>
          <w:i/>
          <w:iCs/>
        </w:rPr>
        <w:t>State of Play Report: FY2025 Observed Practices</w:t>
      </w:r>
      <w:r w:rsidRPr="002D4A4B">
        <w:t xml:space="preserve"> and its implications for the future of corporate sustainability reporting.</w:t>
      </w:r>
    </w:p>
    <w:p w14:paraId="6E8325E1" w14:textId="77777777" w:rsidR="002D4A4B" w:rsidRPr="002D4A4B" w:rsidRDefault="002D4A4B" w:rsidP="002D4A4B">
      <w:r w:rsidRPr="002D4A4B">
        <w:pict w14:anchorId="28916085">
          <v:rect id="_x0000_i1090" style="width:486pt;height:.75pt" o:hrpct="0" o:hralign="center" o:hrstd="t" o:hr="t" fillcolor="#a0a0a0" stroked="f"/>
        </w:pict>
      </w:r>
    </w:p>
    <w:p w14:paraId="38512472" w14:textId="77777777" w:rsidR="002D4A4B" w:rsidRPr="002D4A4B" w:rsidRDefault="002D4A4B" w:rsidP="002D4A4B">
      <w:pPr>
        <w:rPr>
          <w:b/>
          <w:bCs/>
        </w:rPr>
      </w:pPr>
      <w:r w:rsidRPr="002D4A4B">
        <w:rPr>
          <w:b/>
          <w:bCs/>
        </w:rPr>
        <w:t>Executive Summary</w:t>
      </w:r>
    </w:p>
    <w:p w14:paraId="1BEFFF0F" w14:textId="77777777" w:rsidR="002D4A4B" w:rsidRPr="002D4A4B" w:rsidRDefault="002D4A4B" w:rsidP="002D4A4B">
      <w:r w:rsidRPr="002D4A4B">
        <w:t>EFRAG's 2026 State of Play Report provides one of the most comprehensive empirical baselines yet produced for mandatory sustainability reporting under the European Sustainability Reporting Standards (ESRS).</w:t>
      </w:r>
    </w:p>
    <w:p w14:paraId="6118AD87" w14:textId="77777777" w:rsidR="002D4A4B" w:rsidRPr="002D4A4B" w:rsidRDefault="002D4A4B" w:rsidP="002D4A4B">
      <w:r w:rsidRPr="002D4A4B">
        <w:t>Drawing upon 905 third-party assured sustainability statements, the report offers an unprecedented view into how organizations are adapting to mandatory disclosure requirements across Europe.</w:t>
      </w:r>
    </w:p>
    <w:p w14:paraId="0AC5EE09" w14:textId="77777777" w:rsidR="002D4A4B" w:rsidRPr="002D4A4B" w:rsidRDefault="002D4A4B" w:rsidP="002D4A4B">
      <w:r w:rsidRPr="002D4A4B">
        <w:t>Viewed collectively, however, the findings reveal a recurring pattern.</w:t>
      </w:r>
    </w:p>
    <w:p w14:paraId="66498883" w14:textId="77777777" w:rsidR="002D4A4B" w:rsidRPr="002D4A4B" w:rsidRDefault="002D4A4B" w:rsidP="002D4A4B">
      <w:r w:rsidRPr="002D4A4B">
        <w:t xml:space="preserve">Organizations increasingly understand what </w:t>
      </w:r>
      <w:proofErr w:type="gramStart"/>
      <w:r w:rsidRPr="002D4A4B">
        <w:t>is material</w:t>
      </w:r>
      <w:proofErr w:type="gramEnd"/>
      <w:r w:rsidRPr="002D4A4B">
        <w:t>.</w:t>
      </w:r>
    </w:p>
    <w:p w14:paraId="2E07011A" w14:textId="77777777" w:rsidR="002D4A4B" w:rsidRPr="002D4A4B" w:rsidRDefault="002D4A4B" w:rsidP="002D4A4B">
      <w:r w:rsidRPr="002D4A4B">
        <w:t>They remain significantly less capable of operationalizing, measuring and continuously verifying those priorities.</w:t>
      </w:r>
    </w:p>
    <w:p w14:paraId="5DC2116B" w14:textId="77777777" w:rsidR="002D4A4B" w:rsidRPr="002D4A4B" w:rsidRDefault="002D4A4B" w:rsidP="002D4A4B">
      <w:r w:rsidRPr="002D4A4B">
        <w:lastRenderedPageBreak/>
        <w:t>Corporate sustainability is therefore approaching an important institutional threshold.</w:t>
      </w:r>
    </w:p>
    <w:p w14:paraId="792320F1" w14:textId="77777777" w:rsidR="002D4A4B" w:rsidRPr="002D4A4B" w:rsidRDefault="002D4A4B" w:rsidP="002D4A4B">
      <w:r w:rsidRPr="002D4A4B">
        <w:t>The next stage of maturity may depend less on improving disclosures and more on strengthening the evidence infrastructures that exist before disclosure begins.</w:t>
      </w:r>
    </w:p>
    <w:p w14:paraId="53B3AD0B" w14:textId="77777777" w:rsidR="002D4A4B" w:rsidRPr="002D4A4B" w:rsidRDefault="002D4A4B" w:rsidP="002D4A4B">
      <w:r w:rsidRPr="002D4A4B">
        <w:pict w14:anchorId="6C30A6F4">
          <v:rect id="_x0000_i1091" style="width:486pt;height:.75pt" o:hrpct="0" o:hralign="center" o:hrstd="t" o:hr="t" fillcolor="#a0a0a0" stroked="f"/>
        </w:pict>
      </w:r>
    </w:p>
    <w:p w14:paraId="2F0263A0" w14:textId="77777777" w:rsidR="002D4A4B" w:rsidRPr="002D4A4B" w:rsidRDefault="002D4A4B" w:rsidP="002D4A4B">
      <w:pPr>
        <w:rPr>
          <w:b/>
          <w:bCs/>
        </w:rPr>
      </w:pPr>
      <w:r w:rsidRPr="002D4A4B">
        <w:rPr>
          <w:b/>
          <w:bCs/>
        </w:rPr>
        <w:t>Opening</w:t>
      </w:r>
    </w:p>
    <w:p w14:paraId="09B4C8CB" w14:textId="77777777" w:rsidR="002D4A4B" w:rsidRPr="002D4A4B" w:rsidRDefault="002D4A4B" w:rsidP="002D4A4B">
      <w:r w:rsidRPr="002D4A4B">
        <w:t>The transition from voluntary sustainability reporting to mandatory, assured disclosures was intended to strengthen market discipline.</w:t>
      </w:r>
    </w:p>
    <w:p w14:paraId="7787DB26" w14:textId="77777777" w:rsidR="002D4A4B" w:rsidRPr="002D4A4B" w:rsidRDefault="002D4A4B" w:rsidP="002D4A4B">
      <w:r w:rsidRPr="002D4A4B">
        <w:t xml:space="preserve">In July 2026, EFRAG released its second </w:t>
      </w:r>
      <w:r w:rsidRPr="002D4A4B">
        <w:rPr>
          <w:i/>
          <w:iCs/>
        </w:rPr>
        <w:t>State of Play Report: FY2025 Observed Practices</w:t>
      </w:r>
      <w:r w:rsidRPr="002D4A4B">
        <w:t>.</w:t>
      </w:r>
    </w:p>
    <w:p w14:paraId="31EF44FB" w14:textId="77777777" w:rsidR="002D4A4B" w:rsidRPr="002D4A4B" w:rsidRDefault="002D4A4B" w:rsidP="002D4A4B">
      <w:r w:rsidRPr="002D4A4B">
        <w:t>Analyzing 905 assured sustainability statements prepared under the European Sustainability Reporting Standards, the report establishes an important baseline for understanding corporate implementation practices.</w:t>
      </w:r>
    </w:p>
    <w:p w14:paraId="4336148B" w14:textId="77777777" w:rsidR="002D4A4B" w:rsidRPr="002D4A4B" w:rsidRDefault="002D4A4B" w:rsidP="002D4A4B">
      <w:r w:rsidRPr="002D4A4B">
        <w:t>Many observers have interpreted these findings as evidence that organizations are gradually adapting to the requirements of mandatory reporting.</w:t>
      </w:r>
    </w:p>
    <w:p w14:paraId="0CBEFDA7" w14:textId="77777777" w:rsidR="002D4A4B" w:rsidRPr="002D4A4B" w:rsidRDefault="002D4A4B" w:rsidP="002D4A4B">
      <w:r w:rsidRPr="002D4A4B">
        <w:t>Yet beneath these findings lies a broader institutional question.</w:t>
      </w:r>
    </w:p>
    <w:p w14:paraId="1615AB64" w14:textId="77777777" w:rsidR="002D4A4B" w:rsidRPr="002D4A4B" w:rsidRDefault="002D4A4B" w:rsidP="002D4A4B">
      <w:r w:rsidRPr="002D4A4B">
        <w:t>What happens when reporting requirements evolve faster than the operational infrastructures supporting them?</w:t>
      </w:r>
    </w:p>
    <w:p w14:paraId="585CC5E3" w14:textId="77777777" w:rsidR="002D4A4B" w:rsidRPr="002D4A4B" w:rsidRDefault="002D4A4B" w:rsidP="002D4A4B">
      <w:r w:rsidRPr="002D4A4B">
        <w:pict w14:anchorId="2181DA46">
          <v:rect id="_x0000_i1092" style="width:486pt;height:.75pt" o:hrpct="0" o:hralign="center" o:hrstd="t" o:hr="t" fillcolor="#a0a0a0" stroked="f"/>
        </w:pict>
      </w:r>
    </w:p>
    <w:p w14:paraId="7A2075E5" w14:textId="77777777" w:rsidR="002D4A4B" w:rsidRPr="002D4A4B" w:rsidRDefault="002D4A4B" w:rsidP="002D4A4B">
      <w:pPr>
        <w:rPr>
          <w:b/>
          <w:bCs/>
        </w:rPr>
      </w:pPr>
      <w:r w:rsidRPr="002D4A4B">
        <w:rPr>
          <w:b/>
          <w:bCs/>
        </w:rPr>
        <w:t>The Materiality vs. Execution Divergence</w:t>
      </w:r>
    </w:p>
    <w:p w14:paraId="4A57C9A0" w14:textId="77777777" w:rsidR="002D4A4B" w:rsidRPr="002D4A4B" w:rsidRDefault="002D4A4B" w:rsidP="002D4A4B">
      <w:r w:rsidRPr="002D4A4B">
        <w:t>One of the most significant findings within the report concerns the relationship between materiality and execution.</w:t>
      </w:r>
    </w:p>
    <w:p w14:paraId="24DEEDA5" w14:textId="77777777" w:rsidR="002D4A4B" w:rsidRPr="002D4A4B" w:rsidRDefault="002D4A4B" w:rsidP="002D4A4B">
      <w:r w:rsidRPr="002D4A4B">
        <w:t>According to EFRAG, organizations identify an average of 6.4 material ESRS topics out of 10.</w:t>
      </w:r>
    </w:p>
    <w:p w14:paraId="174FA9B6" w14:textId="77777777" w:rsidR="002D4A4B" w:rsidRPr="002D4A4B" w:rsidRDefault="002D4A4B" w:rsidP="002D4A4B">
      <w:r w:rsidRPr="002D4A4B">
        <w:t>However, they establish quantified targets for an average of only 3.3 topics.</w:t>
      </w:r>
    </w:p>
    <w:p w14:paraId="662E6BA1" w14:textId="77777777" w:rsidR="002D4A4B" w:rsidRPr="002D4A4B" w:rsidRDefault="002D4A4B" w:rsidP="002D4A4B">
      <w:r w:rsidRPr="002D4A4B">
        <w:t xml:space="preserve">Nearly half of all declared material priorities therefore remain disconnected from </w:t>
      </w:r>
      <w:r w:rsidRPr="002D4A4B">
        <w:lastRenderedPageBreak/>
        <w:t>measurable execution criteria.</w:t>
      </w:r>
    </w:p>
    <w:p w14:paraId="1DE3E864" w14:textId="77777777" w:rsidR="002D4A4B" w:rsidRPr="002D4A4B" w:rsidRDefault="002D4A4B" w:rsidP="002D4A4B">
      <w:r w:rsidRPr="002D4A4B">
        <w:t>This represents an important institutional signal.</w:t>
      </w:r>
    </w:p>
    <w:p w14:paraId="4B570331" w14:textId="77777777" w:rsidR="002D4A4B" w:rsidRPr="002D4A4B" w:rsidRDefault="002D4A4B" w:rsidP="002D4A4B">
      <w:r w:rsidRPr="002D4A4B">
        <w:t>Organizations increasingly understand what matters.</w:t>
      </w:r>
    </w:p>
    <w:p w14:paraId="642257D9" w14:textId="77777777" w:rsidR="002D4A4B" w:rsidRPr="002D4A4B" w:rsidRDefault="002D4A4B" w:rsidP="002D4A4B">
      <w:r w:rsidRPr="002D4A4B">
        <w:t>They remain considerably less capable of continuously proving progress.</w:t>
      </w:r>
    </w:p>
    <w:p w14:paraId="14911300" w14:textId="77777777" w:rsidR="002D4A4B" w:rsidRPr="002D4A4B" w:rsidRDefault="002D4A4B" w:rsidP="002D4A4B">
      <w:r w:rsidRPr="002D4A4B">
        <w:t>Reporting frameworks can identify priorities.</w:t>
      </w:r>
    </w:p>
    <w:p w14:paraId="1C92A172" w14:textId="77777777" w:rsidR="002D4A4B" w:rsidRPr="002D4A4B" w:rsidRDefault="002D4A4B" w:rsidP="002D4A4B">
      <w:r w:rsidRPr="002D4A4B">
        <w:t>They cannot create evidence.</w:t>
      </w:r>
    </w:p>
    <w:p w14:paraId="40485FF7" w14:textId="77777777" w:rsidR="002D4A4B" w:rsidRPr="002D4A4B" w:rsidRDefault="002D4A4B" w:rsidP="002D4A4B">
      <w:r w:rsidRPr="002D4A4B">
        <w:t>That capability must already exist.</w:t>
      </w:r>
    </w:p>
    <w:p w14:paraId="3396607F" w14:textId="77777777" w:rsidR="002D4A4B" w:rsidRPr="002D4A4B" w:rsidRDefault="002D4A4B" w:rsidP="002D4A4B">
      <w:r w:rsidRPr="002D4A4B">
        <w:t>See content credentials</w:t>
      </w:r>
    </w:p>
    <w:p w14:paraId="2B00B2D8" w14:textId="68227FD8" w:rsidR="002D4A4B" w:rsidRPr="002D4A4B" w:rsidRDefault="002D4A4B" w:rsidP="002D4A4B">
      <w:r w:rsidRPr="002D4A4B">
        <w:lastRenderedPageBreak/>
        <w:drawing>
          <wp:inline distT="0" distB="0" distL="0" distR="0" wp14:anchorId="0D9F7E2F" wp14:editId="3C32137D">
            <wp:extent cx="5274310" cy="7861935"/>
            <wp:effectExtent l="0" t="0" r="2540" b="5715"/>
            <wp:docPr id="2085999372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94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6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9BF9D" w14:textId="77777777" w:rsidR="002D4A4B" w:rsidRPr="002D4A4B" w:rsidRDefault="002D4A4B" w:rsidP="002D4A4B">
      <w:r w:rsidRPr="002D4A4B">
        <w:t>Comparing legacy ERP fragmentation with EMJ.NEXUS trust continuity.</w:t>
      </w:r>
    </w:p>
    <w:p w14:paraId="4098DE40" w14:textId="77777777" w:rsidR="002D4A4B" w:rsidRPr="002D4A4B" w:rsidRDefault="002D4A4B" w:rsidP="002D4A4B">
      <w:r w:rsidRPr="002D4A4B">
        <w:pict w14:anchorId="3AB880E1">
          <v:rect id="_x0000_i1094" style="width:486pt;height:.75pt" o:hrpct="0" o:hralign="center" o:hrstd="t" o:hr="t" fillcolor="#a0a0a0" stroked="f"/>
        </w:pict>
      </w:r>
    </w:p>
    <w:p w14:paraId="43930C86" w14:textId="77777777" w:rsidR="002D4A4B" w:rsidRPr="002D4A4B" w:rsidRDefault="002D4A4B" w:rsidP="002D4A4B">
      <w:pPr>
        <w:rPr>
          <w:b/>
          <w:bCs/>
        </w:rPr>
      </w:pPr>
      <w:r w:rsidRPr="002D4A4B">
        <w:rPr>
          <w:b/>
          <w:bCs/>
        </w:rPr>
        <w:lastRenderedPageBreak/>
        <w:t>The ERP Segmentation Deadlock</w:t>
      </w:r>
    </w:p>
    <w:p w14:paraId="7B545142" w14:textId="77777777" w:rsidR="002D4A4B" w:rsidRPr="002D4A4B" w:rsidRDefault="002D4A4B" w:rsidP="002D4A4B">
      <w:r w:rsidRPr="002D4A4B">
        <w:t>The limitations of downstream reporting become particularly visible within Governance disclosures.</w:t>
      </w:r>
    </w:p>
    <w:p w14:paraId="6CBE5659" w14:textId="77777777" w:rsidR="002D4A4B" w:rsidRPr="002D4A4B" w:rsidRDefault="002D4A4B" w:rsidP="002D4A4B">
      <w:r w:rsidRPr="002D4A4B">
        <w:t>EFRAG's analysis found that 81% of organizations reference ESG criteria within supplier selection processes.</w:t>
      </w:r>
    </w:p>
    <w:p w14:paraId="5D037A75" w14:textId="77777777" w:rsidR="002D4A4B" w:rsidRPr="002D4A4B" w:rsidRDefault="002D4A4B" w:rsidP="002D4A4B">
      <w:r w:rsidRPr="002D4A4B">
        <w:t>Yet the dominant implementation mechanism remains supplier codes of conduct and high-level declarations.</w:t>
      </w:r>
    </w:p>
    <w:p w14:paraId="697DCA85" w14:textId="77777777" w:rsidR="002D4A4B" w:rsidRPr="002D4A4B" w:rsidRDefault="002D4A4B" w:rsidP="002D4A4B">
      <w:r w:rsidRPr="002D4A4B">
        <w:t>The most revealing statistic may be another.</w:t>
      </w:r>
    </w:p>
    <w:p w14:paraId="19CF3F5D" w14:textId="77777777" w:rsidR="002D4A4B" w:rsidRPr="002D4A4B" w:rsidRDefault="002D4A4B" w:rsidP="002D4A4B">
      <w:r w:rsidRPr="002D4A4B">
        <w:t>Only 7% of surveyed organizations were able to disclose specific average payment terms for SMEs.</w:t>
      </w:r>
    </w:p>
    <w:p w14:paraId="3EBE8D9B" w14:textId="77777777" w:rsidR="002D4A4B" w:rsidRPr="002D4A4B" w:rsidRDefault="002D4A4B" w:rsidP="002D4A4B">
      <w:r w:rsidRPr="002D4A4B">
        <w:t>The remaining 93% relied upon aggregated reporting or cited operational limitations.</w:t>
      </w:r>
    </w:p>
    <w:p w14:paraId="2F4B3D57" w14:textId="77777777" w:rsidR="002D4A4B" w:rsidRPr="002D4A4B" w:rsidRDefault="002D4A4B" w:rsidP="002D4A4B">
      <w:r w:rsidRPr="002D4A4B">
        <w:t>This finding points toward a broader challenge.</w:t>
      </w:r>
    </w:p>
    <w:p w14:paraId="747CF7C3" w14:textId="77777777" w:rsidR="002D4A4B" w:rsidRPr="002D4A4B" w:rsidRDefault="002D4A4B" w:rsidP="002D4A4B">
      <w:r w:rsidRPr="002D4A4B">
        <w:t>Many enterprise systems were designed for financial reconciliation.</w:t>
      </w:r>
    </w:p>
    <w:p w14:paraId="7939E6C7" w14:textId="77777777" w:rsidR="002D4A4B" w:rsidRPr="002D4A4B" w:rsidRDefault="002D4A4B" w:rsidP="002D4A4B">
      <w:r w:rsidRPr="002D4A4B">
        <w:t>They were not designed to preserve context, identity continuity or evidence across complex international value chains.</w:t>
      </w:r>
    </w:p>
    <w:p w14:paraId="3D5752B5" w14:textId="77777777" w:rsidR="002D4A4B" w:rsidRPr="002D4A4B" w:rsidRDefault="002D4A4B" w:rsidP="002D4A4B">
      <w:r w:rsidRPr="002D4A4B">
        <w:t>When large organizations cannot isolate SME transaction data, the issue is no longer disclosure.</w:t>
      </w:r>
    </w:p>
    <w:p w14:paraId="5A0CD1AE" w14:textId="77777777" w:rsidR="002D4A4B" w:rsidRPr="002D4A4B" w:rsidRDefault="002D4A4B" w:rsidP="002D4A4B">
      <w:r w:rsidRPr="002D4A4B">
        <w:t>It is infrastructure.</w:t>
      </w:r>
    </w:p>
    <w:p w14:paraId="38D4D794" w14:textId="77777777" w:rsidR="002D4A4B" w:rsidRPr="002D4A4B" w:rsidRDefault="002D4A4B" w:rsidP="002D4A4B">
      <w:r w:rsidRPr="002D4A4B">
        <w:t>See content credentials</w:t>
      </w:r>
    </w:p>
    <w:p w14:paraId="585F1AA9" w14:textId="5A0A971C" w:rsidR="002D4A4B" w:rsidRPr="002D4A4B" w:rsidRDefault="002D4A4B" w:rsidP="002D4A4B">
      <w:r w:rsidRPr="002D4A4B">
        <w:lastRenderedPageBreak/>
        <w:drawing>
          <wp:inline distT="0" distB="0" distL="0" distR="0" wp14:anchorId="53350D3B" wp14:editId="3BE1A1D7">
            <wp:extent cx="5274310" cy="7861935"/>
            <wp:effectExtent l="0" t="0" r="2540" b="5715"/>
            <wp:docPr id="1831132243" name="圖片 4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07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6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EB3B0" w14:textId="77777777" w:rsidR="002D4A4B" w:rsidRPr="002D4A4B" w:rsidRDefault="002D4A4B" w:rsidP="002D4A4B">
      <w:r w:rsidRPr="002D4A4B">
        <w:t>Charting the 50% execution gap between ESRS topics and targets.</w:t>
      </w:r>
    </w:p>
    <w:p w14:paraId="24904F2A" w14:textId="77777777" w:rsidR="002D4A4B" w:rsidRPr="002D4A4B" w:rsidRDefault="002D4A4B" w:rsidP="002D4A4B">
      <w:r w:rsidRPr="002D4A4B">
        <w:pict w14:anchorId="354973F0">
          <v:rect id="_x0000_i1096" style="width:486pt;height:.75pt" o:hrpct="0" o:hralign="center" o:hrstd="t" o:hr="t" fillcolor="#a0a0a0" stroked="f"/>
        </w:pict>
      </w:r>
    </w:p>
    <w:p w14:paraId="4F39CB22" w14:textId="77777777" w:rsidR="002D4A4B" w:rsidRPr="002D4A4B" w:rsidRDefault="002D4A4B" w:rsidP="002D4A4B">
      <w:pPr>
        <w:rPr>
          <w:b/>
          <w:bCs/>
        </w:rPr>
      </w:pPr>
      <w:r w:rsidRPr="002D4A4B">
        <w:rPr>
          <w:b/>
          <w:bCs/>
        </w:rPr>
        <w:lastRenderedPageBreak/>
        <w:t>Beyond Declarative Compliance</w:t>
      </w:r>
    </w:p>
    <w:p w14:paraId="7732BF20" w14:textId="77777777" w:rsidR="002D4A4B" w:rsidRPr="002D4A4B" w:rsidRDefault="002D4A4B" w:rsidP="002D4A4B">
      <w:r w:rsidRPr="002D4A4B">
        <w:t>EFRAG's findings suggest that organizations do not necessarily lack sustainability ambition.</w:t>
      </w:r>
    </w:p>
    <w:p w14:paraId="70DB1E6A" w14:textId="77777777" w:rsidR="002D4A4B" w:rsidRPr="002D4A4B" w:rsidRDefault="002D4A4B" w:rsidP="002D4A4B">
      <w:r w:rsidRPr="002D4A4B">
        <w:t>Rather, many appear to lack the operational infrastructures required to translate strategic intent into continuously verifiable outcomes.</w:t>
      </w:r>
    </w:p>
    <w:p w14:paraId="212AC903" w14:textId="77777777" w:rsidR="002D4A4B" w:rsidRPr="002D4A4B" w:rsidRDefault="002D4A4B" w:rsidP="002D4A4B">
      <w:r w:rsidRPr="002D4A4B">
        <w:t>This distinction matters.</w:t>
      </w:r>
    </w:p>
    <w:p w14:paraId="016E3F5A" w14:textId="77777777" w:rsidR="002D4A4B" w:rsidRPr="002D4A4B" w:rsidRDefault="002D4A4B" w:rsidP="002D4A4B">
      <w:r w:rsidRPr="002D4A4B">
        <w:t>Reporting can communicate priorities.</w:t>
      </w:r>
    </w:p>
    <w:p w14:paraId="7D810934" w14:textId="77777777" w:rsidR="002D4A4B" w:rsidRPr="002D4A4B" w:rsidRDefault="002D4A4B" w:rsidP="002D4A4B">
      <w:r w:rsidRPr="002D4A4B">
        <w:t>It cannot manufacture evidential integrity.</w:t>
      </w:r>
    </w:p>
    <w:p w14:paraId="5A4B01DB" w14:textId="77777777" w:rsidR="002D4A4B" w:rsidRPr="002D4A4B" w:rsidRDefault="002D4A4B" w:rsidP="002D4A4B">
      <w:r w:rsidRPr="002D4A4B">
        <w:t>No amount of methodology refinement, threshold adjustment or narrative enhancement can compensate for fragmented operational foundations.</w:t>
      </w:r>
    </w:p>
    <w:p w14:paraId="0A931E94" w14:textId="77777777" w:rsidR="002D4A4B" w:rsidRPr="002D4A4B" w:rsidRDefault="002D4A4B" w:rsidP="002D4A4B">
      <w:r w:rsidRPr="002D4A4B">
        <w:t>The 6.4 versus 3.3 divergence.</w:t>
      </w:r>
    </w:p>
    <w:p w14:paraId="4908DC72" w14:textId="77777777" w:rsidR="002D4A4B" w:rsidRPr="002D4A4B" w:rsidRDefault="002D4A4B" w:rsidP="002D4A4B">
      <w:r w:rsidRPr="002D4A4B">
        <w:t>The 7% SME disclosure capability.</w:t>
      </w:r>
    </w:p>
    <w:p w14:paraId="73FDE298" w14:textId="77777777" w:rsidR="002D4A4B" w:rsidRPr="002D4A4B" w:rsidRDefault="002D4A4B" w:rsidP="002D4A4B">
      <w:r w:rsidRPr="002D4A4B">
        <w:t>These are not isolated statistics.</w:t>
      </w:r>
    </w:p>
    <w:p w14:paraId="6DEAD19C" w14:textId="77777777" w:rsidR="002D4A4B" w:rsidRPr="002D4A4B" w:rsidRDefault="002D4A4B" w:rsidP="002D4A4B">
      <w:r w:rsidRPr="002D4A4B">
        <w:t>They are indicators of a broader structural reality.</w:t>
      </w:r>
    </w:p>
    <w:p w14:paraId="64783931" w14:textId="77777777" w:rsidR="002D4A4B" w:rsidRPr="002D4A4B" w:rsidRDefault="002D4A4B" w:rsidP="002D4A4B">
      <w:r w:rsidRPr="002D4A4B">
        <w:t>Corporate sustainability is reaching the practical limits of downstream reporting.</w:t>
      </w:r>
    </w:p>
    <w:p w14:paraId="7336FFD0" w14:textId="77777777" w:rsidR="002D4A4B" w:rsidRPr="002D4A4B" w:rsidRDefault="002D4A4B" w:rsidP="002D4A4B">
      <w:r w:rsidRPr="002D4A4B">
        <w:pict w14:anchorId="5DF1A06B">
          <v:rect id="_x0000_i1097" style="width:486pt;height:.75pt" o:hrpct="0" o:hralign="center" o:hrstd="t" o:hr="t" fillcolor="#a0a0a0" stroked="f"/>
        </w:pict>
      </w:r>
    </w:p>
    <w:p w14:paraId="2000C7CC" w14:textId="77777777" w:rsidR="002D4A4B" w:rsidRPr="002D4A4B" w:rsidRDefault="002D4A4B" w:rsidP="002D4A4B">
      <w:pPr>
        <w:rPr>
          <w:b/>
          <w:bCs/>
        </w:rPr>
      </w:pPr>
      <w:r w:rsidRPr="002D4A4B">
        <w:rPr>
          <w:b/>
          <w:bCs/>
        </w:rPr>
        <w:t>Evidence Infrastructure Perspective</w:t>
      </w:r>
    </w:p>
    <w:p w14:paraId="58FDB30D" w14:textId="77777777" w:rsidR="002D4A4B" w:rsidRPr="002D4A4B" w:rsidRDefault="002D4A4B" w:rsidP="002D4A4B">
      <w:r w:rsidRPr="002D4A4B">
        <w:t>Viewed together, EFRAG's findings suggest that sustainability is entering a new stage of institutional maturity.</w:t>
      </w:r>
    </w:p>
    <w:p w14:paraId="17CAE0AD" w14:textId="77777777" w:rsidR="002D4A4B" w:rsidRPr="002D4A4B" w:rsidRDefault="002D4A4B" w:rsidP="002D4A4B">
      <w:r w:rsidRPr="002D4A4B">
        <w:t>Reporting remains essential.</w:t>
      </w:r>
    </w:p>
    <w:p w14:paraId="5D1A165A" w14:textId="77777777" w:rsidR="002D4A4B" w:rsidRPr="002D4A4B" w:rsidRDefault="002D4A4B" w:rsidP="002D4A4B">
      <w:r w:rsidRPr="002D4A4B">
        <w:t>Assurance remains essential.</w:t>
      </w:r>
    </w:p>
    <w:p w14:paraId="4CD85BCD" w14:textId="77777777" w:rsidR="002D4A4B" w:rsidRPr="002D4A4B" w:rsidRDefault="002D4A4B" w:rsidP="002D4A4B">
      <w:r w:rsidRPr="002D4A4B">
        <w:t>Governance remains essential.</w:t>
      </w:r>
    </w:p>
    <w:p w14:paraId="2346B0E6" w14:textId="77777777" w:rsidR="002D4A4B" w:rsidRPr="002D4A4B" w:rsidRDefault="002D4A4B" w:rsidP="002D4A4B">
      <w:r w:rsidRPr="002D4A4B">
        <w:t>Yet all three increasingly depend upon something that exists much earlier.</w:t>
      </w:r>
    </w:p>
    <w:p w14:paraId="69FD30D5" w14:textId="77777777" w:rsidR="002D4A4B" w:rsidRPr="002D4A4B" w:rsidRDefault="002D4A4B" w:rsidP="002D4A4B">
      <w:r w:rsidRPr="002D4A4B">
        <w:t>Organizations must first possess the capability to generate reliable, identity-bound and continuity-preserved evidence throughout everyday operations.</w:t>
      </w:r>
    </w:p>
    <w:p w14:paraId="31474DF2" w14:textId="77777777" w:rsidR="002D4A4B" w:rsidRPr="002D4A4B" w:rsidRDefault="002D4A4B" w:rsidP="002D4A4B">
      <w:r w:rsidRPr="002D4A4B">
        <w:lastRenderedPageBreak/>
        <w:t>This is not another reporting framework.</w:t>
      </w:r>
    </w:p>
    <w:p w14:paraId="17860C57" w14:textId="77777777" w:rsidR="002D4A4B" w:rsidRPr="002D4A4B" w:rsidRDefault="002D4A4B" w:rsidP="002D4A4B">
      <w:r w:rsidRPr="002D4A4B">
        <w:t>Nor another disclosure requirement.</w:t>
      </w:r>
    </w:p>
    <w:p w14:paraId="0C942DC4" w14:textId="77777777" w:rsidR="002D4A4B" w:rsidRPr="002D4A4B" w:rsidRDefault="002D4A4B" w:rsidP="002D4A4B">
      <w:r w:rsidRPr="002D4A4B">
        <w:t>It is an institutional capability.</w:t>
      </w:r>
    </w:p>
    <w:p w14:paraId="2BAC689C" w14:textId="77777777" w:rsidR="002D4A4B" w:rsidRPr="002D4A4B" w:rsidRDefault="002D4A4B" w:rsidP="002D4A4B">
      <w:r w:rsidRPr="002D4A4B">
        <w:t>Viewed through this perspective, the discussion surrounding Evidence Infrastructure becomes less about reporting itself and more about the conditions required before reporting ever begins.</w:t>
      </w:r>
    </w:p>
    <w:p w14:paraId="1035E930" w14:textId="77777777" w:rsidR="002D4A4B" w:rsidRPr="002D4A4B" w:rsidRDefault="002D4A4B" w:rsidP="002D4A4B">
      <w:r w:rsidRPr="002D4A4B">
        <w:pict w14:anchorId="19A407BC">
          <v:rect id="_x0000_i1098" style="width:486pt;height:.75pt" o:hrpct="0" o:hralign="center" o:hrstd="t" o:hr="t" fillcolor="#a0a0a0" stroked="f"/>
        </w:pict>
      </w:r>
    </w:p>
    <w:p w14:paraId="7F3F98F8" w14:textId="77777777" w:rsidR="002D4A4B" w:rsidRPr="002D4A4B" w:rsidRDefault="002D4A4B" w:rsidP="002D4A4B">
      <w:pPr>
        <w:rPr>
          <w:b/>
          <w:bCs/>
        </w:rPr>
      </w:pPr>
      <w:r w:rsidRPr="002D4A4B">
        <w:rPr>
          <w:b/>
          <w:bCs/>
        </w:rPr>
        <w:t>Closing Reflection</w:t>
      </w:r>
    </w:p>
    <w:p w14:paraId="45DC6DAF" w14:textId="77777777" w:rsidR="002D4A4B" w:rsidRPr="002D4A4B" w:rsidRDefault="002D4A4B" w:rsidP="002D4A4B">
      <w:r w:rsidRPr="002D4A4B">
        <w:t>Across 905 assured sustainability statements, a remarkably consistent pattern emerges.</w:t>
      </w:r>
    </w:p>
    <w:p w14:paraId="3468BBB3" w14:textId="77777777" w:rsidR="002D4A4B" w:rsidRPr="002D4A4B" w:rsidRDefault="002D4A4B" w:rsidP="002D4A4B">
      <w:r w:rsidRPr="002D4A4B">
        <w:t>Organizations are increasingly capable of declaring priorities.</w:t>
      </w:r>
    </w:p>
    <w:p w14:paraId="30F595CC" w14:textId="77777777" w:rsidR="002D4A4B" w:rsidRPr="002D4A4B" w:rsidRDefault="002D4A4B" w:rsidP="002D4A4B">
      <w:r w:rsidRPr="002D4A4B">
        <w:t>They remain significantly less capable of continuously proving them.</w:t>
      </w:r>
    </w:p>
    <w:p w14:paraId="58808FCB" w14:textId="77777777" w:rsidR="002D4A4B" w:rsidRPr="002D4A4B" w:rsidRDefault="002D4A4B" w:rsidP="002D4A4B">
      <w:r w:rsidRPr="002D4A4B">
        <w:t>The era of post-facto data reconstruction is concluding.</w:t>
      </w:r>
    </w:p>
    <w:p w14:paraId="57195309" w14:textId="77777777" w:rsidR="002D4A4B" w:rsidRPr="002D4A4B" w:rsidRDefault="002D4A4B" w:rsidP="002D4A4B">
      <w:r w:rsidRPr="002D4A4B">
        <w:t>The central challenge confronting corporate governance is no longer disclosure itself.</w:t>
      </w:r>
    </w:p>
    <w:p w14:paraId="01935684" w14:textId="77777777" w:rsidR="002D4A4B" w:rsidRPr="002D4A4B" w:rsidRDefault="002D4A4B" w:rsidP="002D4A4B">
      <w:r w:rsidRPr="002D4A4B">
        <w:t>It is the generation of trustworthy evidence before disclosure ever begins.</w:t>
      </w:r>
    </w:p>
    <w:p w14:paraId="0C6ABC0E" w14:textId="77777777" w:rsidR="002D4A4B" w:rsidRPr="002D4A4B" w:rsidRDefault="002D4A4B" w:rsidP="002D4A4B">
      <w:r w:rsidRPr="002D4A4B">
        <w:t>The next stage of institutional maturity may therefore belong to organizations capable of transforming operations into continuously verifiable evidence.</w:t>
      </w:r>
    </w:p>
    <w:p w14:paraId="5B597BBE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E3E"/>
    <w:rsid w:val="002D4A4B"/>
    <w:rsid w:val="007E240A"/>
    <w:rsid w:val="00B159C3"/>
    <w:rsid w:val="00EC2E3E"/>
    <w:rsid w:val="00EF78E1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3D0E1"/>
  <w15:chartTrackingRefBased/>
  <w15:docId w15:val="{4856686A-BF6C-48A2-A18A-87E5C8D23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C2E3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2E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2E3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2E3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2E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2E3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2E3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2E3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2E3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C2E3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C2E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C2E3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C2E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C2E3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C2E3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C2E3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C2E3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C2E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2E3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C2E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2E3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C2E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2E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C2E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2E3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C2E3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C2E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C2E3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C2E3E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D4A4B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D4A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951</Words>
  <Characters>5425</Characters>
  <Application>Microsoft Office Word</Application>
  <DocSecurity>0</DocSecurity>
  <Lines>45</Lines>
  <Paragraphs>12</Paragraphs>
  <ScaleCrop>false</ScaleCrop>
  <Company/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2026-08-16T09:11:00Z</dcterms:created>
  <dcterms:modified xsi:type="dcterms:W3CDTF">2026-08-16T09:11:00Z</dcterms:modified>
</cp:coreProperties>
</file>